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EFE" w:rsidRPr="00F87C8F" w:rsidRDefault="00D70EFD" w:rsidP="0025741E">
      <w:pPr>
        <w:spacing w:after="0"/>
        <w:ind w:right="49"/>
        <w:contextualSpacing/>
        <w:mirrorIndents/>
        <w:jc w:val="both"/>
        <w:rPr>
          <w:rFonts w:ascii="Arial" w:hAnsi="Arial" w:cs="Arial"/>
          <w:b/>
          <w:sz w:val="24"/>
          <w:szCs w:val="24"/>
        </w:rPr>
      </w:pPr>
      <w:bookmarkStart w:id="0" w:name="_GoBack"/>
      <w:bookmarkEnd w:id="0"/>
      <w:r w:rsidRPr="00F87C8F">
        <w:rPr>
          <w:rFonts w:ascii="Arial" w:hAnsi="Arial" w:cs="Arial"/>
          <w:b/>
          <w:sz w:val="24"/>
          <w:szCs w:val="24"/>
        </w:rPr>
        <w:t xml:space="preserve">                     </w:t>
      </w:r>
      <w:bookmarkStart w:id="1" w:name="_Hlk499556802"/>
    </w:p>
    <w:tbl>
      <w:tblPr>
        <w:tblpPr w:leftFromText="141" w:rightFromText="141" w:vertAnchor="text" w:horzAnchor="margin" w:tblpXSpec="right" w:tblpY="-397"/>
        <w:tblOverlap w:val="never"/>
        <w:tblW w:w="0" w:type="auto"/>
        <w:tblLook w:val="01E0" w:firstRow="1" w:lastRow="1" w:firstColumn="1" w:lastColumn="1" w:noHBand="0" w:noVBand="0"/>
      </w:tblPr>
      <w:tblGrid>
        <w:gridCol w:w="4460"/>
      </w:tblGrid>
      <w:tr w:rsidR="00D70EFD" w:rsidRPr="00F87C8F" w:rsidTr="00F6286E">
        <w:trPr>
          <w:trHeight w:val="1850"/>
        </w:trPr>
        <w:tc>
          <w:tcPr>
            <w:tcW w:w="4460" w:type="dxa"/>
          </w:tcPr>
          <w:p w:rsidR="00476516" w:rsidRPr="00F87C8F" w:rsidRDefault="00476516" w:rsidP="0025741E">
            <w:pPr>
              <w:spacing w:after="0"/>
              <w:ind w:right="49"/>
              <w:jc w:val="both"/>
              <w:rPr>
                <w:rFonts w:ascii="Arial" w:eastAsia="Times New Roman" w:hAnsi="Arial" w:cs="Arial"/>
                <w:b/>
                <w:sz w:val="24"/>
                <w:szCs w:val="24"/>
                <w:lang w:val="es-ES_tradnl" w:eastAsia="es-ES"/>
              </w:rPr>
            </w:pPr>
            <w:r w:rsidRPr="00F87C8F">
              <w:rPr>
                <w:rFonts w:ascii="Arial" w:eastAsia="Times New Roman" w:hAnsi="Arial" w:cs="Arial"/>
                <w:b/>
                <w:sz w:val="24"/>
                <w:szCs w:val="24"/>
                <w:lang w:val="es-ES_tradnl" w:eastAsia="es-ES"/>
              </w:rPr>
              <w:t xml:space="preserve">Acuerdo Plenario de Reencauzamiento. </w:t>
            </w:r>
          </w:p>
          <w:p w:rsidR="00476516" w:rsidRPr="00F87C8F" w:rsidRDefault="00476516" w:rsidP="0025741E">
            <w:pPr>
              <w:spacing w:after="0"/>
              <w:ind w:right="49"/>
              <w:jc w:val="both"/>
              <w:rPr>
                <w:rFonts w:ascii="Arial" w:eastAsia="Times New Roman" w:hAnsi="Arial" w:cs="Arial"/>
                <w:b/>
                <w:sz w:val="24"/>
                <w:szCs w:val="24"/>
                <w:lang w:val="es-ES_tradnl" w:eastAsia="es-ES"/>
              </w:rPr>
            </w:pPr>
          </w:p>
          <w:p w:rsidR="00D70EFD" w:rsidRPr="00F87C8F" w:rsidRDefault="00D70EFD" w:rsidP="0025741E">
            <w:pPr>
              <w:spacing w:after="0"/>
              <w:ind w:right="49"/>
              <w:jc w:val="both"/>
              <w:rPr>
                <w:rFonts w:ascii="Arial" w:eastAsia="Times New Roman" w:hAnsi="Arial" w:cs="Arial"/>
                <w:sz w:val="24"/>
                <w:szCs w:val="24"/>
                <w:lang w:val="es-ES_tradnl" w:eastAsia="es-ES"/>
              </w:rPr>
            </w:pPr>
            <w:r w:rsidRPr="00F87C8F">
              <w:rPr>
                <w:rFonts w:ascii="Arial" w:eastAsia="Times New Roman" w:hAnsi="Arial" w:cs="Arial"/>
                <w:b/>
                <w:sz w:val="24"/>
                <w:szCs w:val="24"/>
                <w:lang w:val="es-ES_tradnl" w:eastAsia="es-ES"/>
              </w:rPr>
              <w:t xml:space="preserve">Expediente: </w:t>
            </w:r>
            <w:r w:rsidRPr="00F87C8F">
              <w:rPr>
                <w:rFonts w:ascii="Arial" w:eastAsia="Times New Roman" w:hAnsi="Arial" w:cs="Arial"/>
                <w:sz w:val="24"/>
                <w:szCs w:val="24"/>
                <w:lang w:val="es-ES_tradnl" w:eastAsia="es-ES"/>
              </w:rPr>
              <w:t>TEEA-JDC</w:t>
            </w:r>
            <w:r w:rsidR="00C00FE7">
              <w:rPr>
                <w:rFonts w:ascii="Arial" w:eastAsia="Times New Roman" w:hAnsi="Arial" w:cs="Arial"/>
                <w:sz w:val="24"/>
                <w:szCs w:val="24"/>
                <w:lang w:val="es-ES_tradnl" w:eastAsia="es-ES"/>
              </w:rPr>
              <w:t>-03</w:t>
            </w:r>
            <w:r w:rsidR="003B021C">
              <w:rPr>
                <w:rFonts w:ascii="Arial" w:eastAsia="Times New Roman" w:hAnsi="Arial" w:cs="Arial"/>
                <w:sz w:val="24"/>
                <w:szCs w:val="24"/>
                <w:lang w:val="es-ES_tradnl" w:eastAsia="es-ES"/>
              </w:rPr>
              <w:t>4</w:t>
            </w:r>
            <w:r w:rsidR="00111927">
              <w:rPr>
                <w:rFonts w:ascii="Arial" w:eastAsia="Times New Roman" w:hAnsi="Arial" w:cs="Arial"/>
                <w:sz w:val="24"/>
                <w:szCs w:val="24"/>
                <w:lang w:val="es-ES_tradnl" w:eastAsia="es-ES"/>
              </w:rPr>
              <w:t>/</w:t>
            </w:r>
            <w:r w:rsidRPr="00F87C8F">
              <w:rPr>
                <w:rFonts w:ascii="Arial" w:eastAsia="Times New Roman" w:hAnsi="Arial" w:cs="Arial"/>
                <w:sz w:val="24"/>
                <w:szCs w:val="24"/>
                <w:lang w:val="es-ES_tradnl" w:eastAsia="es-ES"/>
              </w:rPr>
              <w:t>2019</w:t>
            </w:r>
            <w:r w:rsidR="0037497F" w:rsidRPr="00F87C8F">
              <w:rPr>
                <w:rFonts w:ascii="Arial" w:eastAsia="Times New Roman" w:hAnsi="Arial" w:cs="Arial"/>
                <w:sz w:val="24"/>
                <w:szCs w:val="24"/>
                <w:lang w:val="es-ES_tradnl" w:eastAsia="es-ES"/>
              </w:rPr>
              <w:t>.</w:t>
            </w:r>
          </w:p>
          <w:p w:rsidR="00332D9D" w:rsidRPr="00F87C8F" w:rsidRDefault="00332D9D" w:rsidP="0025741E">
            <w:pPr>
              <w:spacing w:after="0"/>
              <w:ind w:right="49"/>
              <w:jc w:val="both"/>
              <w:rPr>
                <w:rFonts w:ascii="Arial" w:eastAsia="Times New Roman" w:hAnsi="Arial" w:cs="Arial"/>
                <w:sz w:val="24"/>
                <w:szCs w:val="24"/>
                <w:lang w:val="es-ES_tradnl" w:eastAsia="es-ES"/>
              </w:rPr>
            </w:pPr>
          </w:p>
          <w:p w:rsidR="00365744" w:rsidRPr="00C00FE7" w:rsidRDefault="00E74E12" w:rsidP="0025741E">
            <w:pPr>
              <w:spacing w:after="0"/>
              <w:ind w:right="49"/>
              <w:jc w:val="both"/>
              <w:rPr>
                <w:rFonts w:ascii="Arial" w:eastAsia="Times New Roman" w:hAnsi="Arial" w:cs="Arial"/>
                <w:color w:val="000000" w:themeColor="text1"/>
                <w:sz w:val="24"/>
                <w:szCs w:val="24"/>
                <w:lang w:val="es-ES_tradnl" w:eastAsia="es-ES"/>
              </w:rPr>
            </w:pPr>
            <w:r w:rsidRPr="00F87C8F">
              <w:rPr>
                <w:rFonts w:ascii="Arial" w:eastAsia="Times New Roman" w:hAnsi="Arial" w:cs="Arial"/>
                <w:b/>
                <w:sz w:val="24"/>
                <w:szCs w:val="24"/>
                <w:lang w:val="es-ES_tradnl" w:eastAsia="es-ES"/>
              </w:rPr>
              <w:t>Promovente:</w:t>
            </w:r>
            <w:bookmarkStart w:id="2" w:name="_Hlk3879611"/>
            <w:r w:rsidR="003B021C">
              <w:rPr>
                <w:rFonts w:ascii="Arial" w:eastAsia="Times New Roman" w:hAnsi="Arial" w:cs="Arial"/>
                <w:color w:val="000000" w:themeColor="text1"/>
                <w:sz w:val="24"/>
                <w:szCs w:val="24"/>
                <w:lang w:val="es-ES_tradnl" w:eastAsia="es-ES"/>
              </w:rPr>
              <w:t xml:space="preserve"> Erasto Rentería Vázquez</w:t>
            </w:r>
            <w:r w:rsidR="00C00FE7" w:rsidRPr="00C00FE7">
              <w:rPr>
                <w:rFonts w:ascii="Arial" w:eastAsia="Times New Roman" w:hAnsi="Arial" w:cs="Arial"/>
                <w:color w:val="000000" w:themeColor="text1"/>
                <w:sz w:val="24"/>
                <w:szCs w:val="24"/>
                <w:lang w:val="es-ES_tradnl" w:eastAsia="es-ES"/>
              </w:rPr>
              <w:t>.</w:t>
            </w:r>
          </w:p>
          <w:bookmarkEnd w:id="2"/>
          <w:p w:rsidR="00332D9D" w:rsidRPr="00F87C8F" w:rsidRDefault="00332D9D" w:rsidP="0025741E">
            <w:pPr>
              <w:spacing w:after="0"/>
              <w:ind w:right="49"/>
              <w:jc w:val="both"/>
              <w:rPr>
                <w:rFonts w:ascii="Arial" w:eastAsia="Times New Roman" w:hAnsi="Arial" w:cs="Arial"/>
                <w:color w:val="FF0000"/>
                <w:sz w:val="24"/>
                <w:szCs w:val="24"/>
                <w:lang w:val="es-ES_tradnl" w:eastAsia="es-ES"/>
              </w:rPr>
            </w:pPr>
          </w:p>
          <w:p w:rsidR="00332D9D" w:rsidRPr="00F87C8F" w:rsidRDefault="00D70EFD" w:rsidP="0025741E">
            <w:pPr>
              <w:spacing w:after="0"/>
              <w:ind w:right="49"/>
              <w:jc w:val="both"/>
              <w:rPr>
                <w:rFonts w:ascii="Arial" w:eastAsia="Times New Roman" w:hAnsi="Arial" w:cs="Arial"/>
                <w:sz w:val="24"/>
                <w:szCs w:val="24"/>
                <w:lang w:val="es-ES_tradnl" w:eastAsia="es-ES"/>
              </w:rPr>
            </w:pPr>
            <w:r w:rsidRPr="00F87C8F">
              <w:rPr>
                <w:rFonts w:ascii="Arial" w:eastAsia="Times New Roman" w:hAnsi="Arial" w:cs="Arial"/>
                <w:b/>
                <w:sz w:val="24"/>
                <w:szCs w:val="24"/>
                <w:lang w:val="es-ES_tradnl" w:eastAsia="es-ES"/>
              </w:rPr>
              <w:t>Autoridad Responsable:</w:t>
            </w:r>
            <w:r w:rsidRPr="00F87C8F">
              <w:rPr>
                <w:rFonts w:ascii="Arial" w:eastAsia="Times New Roman" w:hAnsi="Arial" w:cs="Arial"/>
                <w:sz w:val="24"/>
                <w:szCs w:val="24"/>
                <w:lang w:val="es-ES_tradnl" w:eastAsia="es-ES"/>
              </w:rPr>
              <w:t xml:space="preserve"> </w:t>
            </w:r>
            <w:r w:rsidR="0010088B" w:rsidRPr="00F87C8F">
              <w:rPr>
                <w:rFonts w:ascii="Arial" w:eastAsia="Times New Roman" w:hAnsi="Arial" w:cs="Arial"/>
                <w:sz w:val="24"/>
                <w:szCs w:val="24"/>
                <w:lang w:val="es-ES_tradnl" w:eastAsia="es-ES"/>
              </w:rPr>
              <w:t xml:space="preserve">Comisión Nacional de Elecciones de MORENA. </w:t>
            </w:r>
          </w:p>
          <w:p w:rsidR="0010088B" w:rsidRPr="00F87C8F" w:rsidRDefault="0010088B" w:rsidP="0025741E">
            <w:pPr>
              <w:spacing w:after="0"/>
              <w:ind w:right="49"/>
              <w:jc w:val="both"/>
              <w:rPr>
                <w:rFonts w:ascii="Arial" w:eastAsia="Times New Roman" w:hAnsi="Arial" w:cs="Arial"/>
                <w:sz w:val="24"/>
                <w:szCs w:val="24"/>
                <w:lang w:val="es-ES_tradnl" w:eastAsia="es-ES"/>
              </w:rPr>
            </w:pPr>
          </w:p>
          <w:p w:rsidR="00D70EFD" w:rsidRPr="00F87C8F" w:rsidRDefault="00D70EFD" w:rsidP="0025741E">
            <w:pPr>
              <w:spacing w:after="0"/>
              <w:ind w:right="49"/>
              <w:jc w:val="both"/>
              <w:rPr>
                <w:rFonts w:ascii="Arial" w:eastAsia="Times New Roman" w:hAnsi="Arial" w:cs="Arial"/>
                <w:sz w:val="24"/>
                <w:szCs w:val="24"/>
                <w:lang w:val="es-ES_tradnl" w:eastAsia="es-ES"/>
              </w:rPr>
            </w:pPr>
            <w:r w:rsidRPr="00F87C8F">
              <w:rPr>
                <w:rFonts w:ascii="Arial" w:eastAsia="Times New Roman" w:hAnsi="Arial" w:cs="Arial"/>
                <w:b/>
                <w:sz w:val="24"/>
                <w:szCs w:val="24"/>
                <w:lang w:val="es-ES_tradnl" w:eastAsia="es-ES"/>
              </w:rPr>
              <w:t>Magistrad</w:t>
            </w:r>
            <w:r w:rsidR="00BB6379" w:rsidRPr="00F87C8F">
              <w:rPr>
                <w:rFonts w:ascii="Arial" w:eastAsia="Times New Roman" w:hAnsi="Arial" w:cs="Arial"/>
                <w:b/>
                <w:sz w:val="24"/>
                <w:szCs w:val="24"/>
                <w:lang w:val="es-ES_tradnl" w:eastAsia="es-ES"/>
              </w:rPr>
              <w:t>o</w:t>
            </w:r>
            <w:r w:rsidRPr="00F87C8F">
              <w:rPr>
                <w:rFonts w:ascii="Arial" w:eastAsia="Times New Roman" w:hAnsi="Arial" w:cs="Arial"/>
                <w:b/>
                <w:sz w:val="24"/>
                <w:szCs w:val="24"/>
                <w:lang w:val="es-ES_tradnl" w:eastAsia="es-ES"/>
              </w:rPr>
              <w:t xml:space="preserve"> Ponente:</w:t>
            </w:r>
            <w:r w:rsidRPr="00F87C8F">
              <w:rPr>
                <w:rFonts w:ascii="Arial" w:eastAsia="Times New Roman" w:hAnsi="Arial" w:cs="Arial"/>
                <w:sz w:val="24"/>
                <w:szCs w:val="24"/>
                <w:lang w:val="es-ES_tradnl" w:eastAsia="es-ES"/>
              </w:rPr>
              <w:t xml:space="preserve"> </w:t>
            </w:r>
            <w:r w:rsidR="00E74E12" w:rsidRPr="00F87C8F">
              <w:rPr>
                <w:rFonts w:ascii="Arial" w:eastAsia="Times New Roman" w:hAnsi="Arial" w:cs="Arial"/>
                <w:sz w:val="24"/>
                <w:szCs w:val="24"/>
                <w:lang w:val="es-ES_tradnl" w:eastAsia="es-ES"/>
              </w:rPr>
              <w:t>Héctor Salvador Hernández Gallegos</w:t>
            </w:r>
            <w:r w:rsidR="00332D9D" w:rsidRPr="00F87C8F">
              <w:rPr>
                <w:rFonts w:ascii="Arial" w:eastAsia="Times New Roman" w:hAnsi="Arial" w:cs="Arial"/>
                <w:sz w:val="24"/>
                <w:szCs w:val="24"/>
                <w:lang w:val="es-ES_tradnl" w:eastAsia="es-ES"/>
              </w:rPr>
              <w:t xml:space="preserve">. </w:t>
            </w:r>
          </w:p>
          <w:p w:rsidR="00332D9D" w:rsidRPr="00F87C8F" w:rsidRDefault="00332D9D" w:rsidP="0025741E">
            <w:pPr>
              <w:spacing w:after="0"/>
              <w:ind w:right="49"/>
              <w:jc w:val="both"/>
              <w:rPr>
                <w:rFonts w:ascii="Arial" w:eastAsia="Times New Roman" w:hAnsi="Arial" w:cs="Arial"/>
                <w:sz w:val="24"/>
                <w:szCs w:val="24"/>
                <w:lang w:val="es-ES_tradnl" w:eastAsia="es-ES"/>
              </w:rPr>
            </w:pPr>
          </w:p>
          <w:p w:rsidR="00D70EFD" w:rsidRPr="00F87C8F" w:rsidRDefault="00D70EFD" w:rsidP="0025741E">
            <w:pPr>
              <w:spacing w:after="0"/>
              <w:ind w:right="49"/>
              <w:jc w:val="both"/>
              <w:rPr>
                <w:rFonts w:ascii="Arial" w:eastAsia="Times New Roman" w:hAnsi="Arial" w:cs="Arial"/>
                <w:sz w:val="24"/>
                <w:szCs w:val="24"/>
                <w:lang w:val="es-ES_tradnl" w:eastAsia="es-ES"/>
              </w:rPr>
            </w:pPr>
            <w:r w:rsidRPr="00F87C8F">
              <w:rPr>
                <w:rFonts w:ascii="Arial" w:eastAsia="Times New Roman" w:hAnsi="Arial" w:cs="Arial"/>
                <w:b/>
                <w:sz w:val="24"/>
                <w:szCs w:val="24"/>
                <w:lang w:val="es-ES_tradnl" w:eastAsia="es-ES"/>
              </w:rPr>
              <w:t>Secretaria de Estudio:</w:t>
            </w:r>
            <w:r w:rsidRPr="00F87C8F">
              <w:rPr>
                <w:rFonts w:ascii="Arial" w:eastAsia="Times New Roman" w:hAnsi="Arial" w:cs="Arial"/>
                <w:sz w:val="24"/>
                <w:szCs w:val="24"/>
                <w:lang w:val="es-ES_tradnl" w:eastAsia="es-ES"/>
              </w:rPr>
              <w:t xml:space="preserve"> </w:t>
            </w:r>
            <w:r w:rsidR="00E74E12" w:rsidRPr="00F87C8F">
              <w:rPr>
                <w:rFonts w:ascii="Arial" w:eastAsia="Times New Roman" w:hAnsi="Arial" w:cs="Arial"/>
                <w:sz w:val="24"/>
                <w:szCs w:val="24"/>
                <w:lang w:val="es-ES_tradnl" w:eastAsia="es-ES"/>
              </w:rPr>
              <w:t xml:space="preserve">Daniel Omar Gutiérrez Ruvalcaba. </w:t>
            </w:r>
          </w:p>
        </w:tc>
      </w:tr>
    </w:tbl>
    <w:p w:rsidR="00D70EFD" w:rsidRPr="00F87C8F" w:rsidRDefault="00D70EFD" w:rsidP="0025741E">
      <w:pPr>
        <w:spacing w:after="0"/>
        <w:ind w:right="49"/>
        <w:contextualSpacing/>
        <w:mirrorIndents/>
        <w:jc w:val="both"/>
        <w:rPr>
          <w:rFonts w:ascii="Arial" w:hAnsi="Arial" w:cs="Arial"/>
          <w:b/>
          <w:sz w:val="24"/>
          <w:szCs w:val="24"/>
        </w:rPr>
      </w:pPr>
    </w:p>
    <w:p w:rsidR="00D70EFD" w:rsidRPr="00F87C8F" w:rsidRDefault="00D70EFD" w:rsidP="0025741E">
      <w:pPr>
        <w:spacing w:after="0"/>
        <w:ind w:right="49"/>
        <w:contextualSpacing/>
        <w:mirrorIndents/>
        <w:jc w:val="both"/>
        <w:rPr>
          <w:rFonts w:ascii="Arial" w:hAnsi="Arial" w:cs="Arial"/>
          <w:b/>
          <w:sz w:val="24"/>
          <w:szCs w:val="24"/>
        </w:rPr>
      </w:pPr>
    </w:p>
    <w:p w:rsidR="00D70EFD" w:rsidRPr="00F87C8F" w:rsidRDefault="00D70EFD" w:rsidP="0025741E">
      <w:pPr>
        <w:spacing w:after="0"/>
        <w:ind w:right="49"/>
        <w:contextualSpacing/>
        <w:mirrorIndents/>
        <w:jc w:val="both"/>
        <w:rPr>
          <w:rFonts w:ascii="Arial" w:hAnsi="Arial" w:cs="Arial"/>
          <w:b/>
          <w:sz w:val="24"/>
          <w:szCs w:val="24"/>
        </w:rPr>
      </w:pPr>
    </w:p>
    <w:p w:rsidR="00D70EFD" w:rsidRPr="00F87C8F" w:rsidRDefault="00D70EFD" w:rsidP="0025741E">
      <w:pPr>
        <w:spacing w:after="0"/>
        <w:ind w:right="49"/>
        <w:contextualSpacing/>
        <w:mirrorIndents/>
        <w:jc w:val="both"/>
        <w:rPr>
          <w:rFonts w:ascii="Arial" w:hAnsi="Arial" w:cs="Arial"/>
          <w:b/>
          <w:sz w:val="24"/>
          <w:szCs w:val="24"/>
        </w:rPr>
      </w:pPr>
    </w:p>
    <w:p w:rsidR="00D70EFD" w:rsidRPr="00F87C8F" w:rsidRDefault="00D70EFD" w:rsidP="0025741E">
      <w:pPr>
        <w:spacing w:after="0"/>
        <w:ind w:right="49"/>
        <w:contextualSpacing/>
        <w:mirrorIndents/>
        <w:jc w:val="both"/>
        <w:rPr>
          <w:rFonts w:ascii="Arial" w:hAnsi="Arial" w:cs="Arial"/>
          <w:b/>
          <w:sz w:val="24"/>
          <w:szCs w:val="24"/>
        </w:rPr>
      </w:pPr>
    </w:p>
    <w:p w:rsidR="00D70EFD" w:rsidRPr="00F87C8F" w:rsidRDefault="00D70EFD" w:rsidP="0025741E">
      <w:pPr>
        <w:spacing w:after="0"/>
        <w:ind w:right="49"/>
        <w:contextualSpacing/>
        <w:mirrorIndents/>
        <w:jc w:val="both"/>
        <w:rPr>
          <w:rFonts w:ascii="Arial" w:hAnsi="Arial" w:cs="Arial"/>
          <w:b/>
          <w:sz w:val="24"/>
          <w:szCs w:val="24"/>
        </w:rPr>
      </w:pPr>
    </w:p>
    <w:p w:rsidR="00D70EFD" w:rsidRPr="00F87C8F" w:rsidRDefault="00D70EFD" w:rsidP="0025741E">
      <w:pPr>
        <w:ind w:right="49"/>
        <w:jc w:val="both"/>
        <w:rPr>
          <w:rFonts w:ascii="Arial" w:hAnsi="Arial" w:cs="Arial"/>
          <w:sz w:val="24"/>
          <w:szCs w:val="24"/>
        </w:rPr>
      </w:pPr>
      <w:bookmarkStart w:id="3" w:name="_Hlk499556789"/>
    </w:p>
    <w:p w:rsidR="00332D9D" w:rsidRPr="00F87C8F" w:rsidRDefault="00332D9D" w:rsidP="0025741E">
      <w:pPr>
        <w:ind w:right="49"/>
        <w:rPr>
          <w:rFonts w:ascii="Arial" w:hAnsi="Arial" w:cs="Arial"/>
          <w:sz w:val="24"/>
          <w:szCs w:val="24"/>
        </w:rPr>
      </w:pPr>
    </w:p>
    <w:p w:rsidR="00332D9D" w:rsidRPr="00F87C8F" w:rsidRDefault="00332D9D" w:rsidP="0025741E">
      <w:pPr>
        <w:ind w:right="49"/>
        <w:rPr>
          <w:rFonts w:ascii="Arial" w:hAnsi="Arial" w:cs="Arial"/>
          <w:sz w:val="24"/>
          <w:szCs w:val="24"/>
        </w:rPr>
      </w:pPr>
    </w:p>
    <w:p w:rsidR="00332D9D" w:rsidRPr="00F87C8F" w:rsidRDefault="00332D9D" w:rsidP="0025741E">
      <w:pPr>
        <w:ind w:right="49"/>
        <w:rPr>
          <w:rFonts w:ascii="Arial" w:hAnsi="Arial" w:cs="Arial"/>
          <w:sz w:val="24"/>
          <w:szCs w:val="24"/>
        </w:rPr>
      </w:pPr>
    </w:p>
    <w:p w:rsidR="00476516" w:rsidRPr="00F87C8F" w:rsidRDefault="00476516" w:rsidP="0025741E">
      <w:pPr>
        <w:ind w:right="49"/>
        <w:rPr>
          <w:rFonts w:ascii="Arial" w:hAnsi="Arial" w:cs="Arial"/>
          <w:sz w:val="24"/>
          <w:szCs w:val="24"/>
        </w:rPr>
      </w:pPr>
    </w:p>
    <w:p w:rsidR="00C00FE7" w:rsidRDefault="00C00FE7" w:rsidP="0025741E">
      <w:pPr>
        <w:ind w:right="49"/>
        <w:jc w:val="right"/>
        <w:rPr>
          <w:rFonts w:ascii="Arial" w:hAnsi="Arial" w:cs="Arial"/>
          <w:sz w:val="24"/>
          <w:szCs w:val="24"/>
        </w:rPr>
      </w:pPr>
    </w:p>
    <w:p w:rsidR="00B95E0C" w:rsidRPr="00F87C8F" w:rsidRDefault="00D70EFD" w:rsidP="0025741E">
      <w:pPr>
        <w:spacing w:line="360" w:lineRule="auto"/>
        <w:ind w:right="49"/>
        <w:jc w:val="right"/>
        <w:rPr>
          <w:rFonts w:ascii="Arial" w:hAnsi="Arial" w:cs="Arial"/>
          <w:sz w:val="24"/>
          <w:szCs w:val="24"/>
        </w:rPr>
      </w:pPr>
      <w:r w:rsidRPr="00F87C8F">
        <w:rPr>
          <w:rFonts w:ascii="Arial" w:hAnsi="Arial" w:cs="Arial"/>
          <w:sz w:val="24"/>
          <w:szCs w:val="24"/>
        </w:rPr>
        <w:t xml:space="preserve">Aguascalientes, Aguascalientes, a </w:t>
      </w:r>
      <w:r w:rsidR="00476516" w:rsidRPr="00F87C8F">
        <w:rPr>
          <w:rFonts w:ascii="Arial" w:hAnsi="Arial" w:cs="Arial"/>
          <w:sz w:val="24"/>
          <w:szCs w:val="24"/>
        </w:rPr>
        <w:t>diez</w:t>
      </w:r>
      <w:r w:rsidR="00BB6379" w:rsidRPr="00F87C8F">
        <w:rPr>
          <w:rFonts w:ascii="Arial" w:hAnsi="Arial" w:cs="Arial"/>
          <w:sz w:val="24"/>
          <w:szCs w:val="24"/>
        </w:rPr>
        <w:t xml:space="preserve"> de </w:t>
      </w:r>
      <w:r w:rsidR="00476516" w:rsidRPr="00F87C8F">
        <w:rPr>
          <w:rFonts w:ascii="Arial" w:hAnsi="Arial" w:cs="Arial"/>
          <w:sz w:val="24"/>
          <w:szCs w:val="24"/>
        </w:rPr>
        <w:t>abril</w:t>
      </w:r>
      <w:r w:rsidRPr="00F87C8F">
        <w:rPr>
          <w:rFonts w:ascii="Arial" w:hAnsi="Arial" w:cs="Arial"/>
          <w:sz w:val="24"/>
          <w:szCs w:val="24"/>
        </w:rPr>
        <w:t xml:space="preserve"> de dos mil diecinueve. </w:t>
      </w:r>
    </w:p>
    <w:p w:rsidR="00476516" w:rsidRPr="00F87C8F" w:rsidRDefault="00476516" w:rsidP="0025741E">
      <w:pPr>
        <w:spacing w:line="360" w:lineRule="auto"/>
        <w:ind w:right="49"/>
        <w:jc w:val="both"/>
        <w:rPr>
          <w:rFonts w:ascii="Arial" w:hAnsi="Arial" w:cs="Arial"/>
          <w:sz w:val="24"/>
          <w:szCs w:val="24"/>
          <w:lang w:val="es-ES_tradnl"/>
        </w:rPr>
      </w:pPr>
      <w:r w:rsidRPr="00F87C8F">
        <w:rPr>
          <w:rFonts w:ascii="Arial" w:hAnsi="Arial" w:cs="Arial"/>
          <w:b/>
          <w:color w:val="000000"/>
          <w:sz w:val="24"/>
          <w:szCs w:val="24"/>
        </w:rPr>
        <w:t xml:space="preserve">ACUERDO PLENARIO </w:t>
      </w:r>
      <w:r w:rsidRPr="00F87C8F">
        <w:rPr>
          <w:rFonts w:ascii="Arial" w:hAnsi="Arial" w:cs="Arial"/>
          <w:color w:val="000000"/>
          <w:sz w:val="24"/>
          <w:szCs w:val="24"/>
        </w:rPr>
        <w:t xml:space="preserve">por el que se determina </w:t>
      </w:r>
      <w:r w:rsidRPr="00F87C8F">
        <w:rPr>
          <w:rFonts w:ascii="Arial" w:hAnsi="Arial" w:cs="Arial"/>
          <w:b/>
          <w:sz w:val="24"/>
          <w:szCs w:val="24"/>
        </w:rPr>
        <w:t>reencauzar</w:t>
      </w:r>
      <w:r w:rsidRPr="00F87C8F">
        <w:rPr>
          <w:rFonts w:ascii="Arial" w:hAnsi="Arial" w:cs="Arial"/>
          <w:sz w:val="24"/>
          <w:szCs w:val="24"/>
        </w:rPr>
        <w:t xml:space="preserve"> la demanda del juicio para la protección de los derechos político-electorales del ciudadano citado al rubro, a</w:t>
      </w:r>
      <w:r w:rsidR="006E3CF2" w:rsidRPr="00F87C8F">
        <w:rPr>
          <w:rFonts w:ascii="Arial" w:hAnsi="Arial" w:cs="Arial"/>
          <w:sz w:val="24"/>
          <w:szCs w:val="24"/>
        </w:rPr>
        <w:t xml:space="preserve"> </w:t>
      </w:r>
      <w:r w:rsidRPr="00F87C8F">
        <w:rPr>
          <w:rFonts w:ascii="Arial" w:hAnsi="Arial" w:cs="Arial"/>
          <w:sz w:val="24"/>
          <w:szCs w:val="24"/>
          <w:lang w:val="es-ES_tradnl"/>
        </w:rPr>
        <w:t xml:space="preserve">la Comisión Nacional de Honestidad y Justicia de MORENA. </w:t>
      </w:r>
      <w:r w:rsidR="002D33EA" w:rsidRPr="00F87C8F">
        <w:rPr>
          <w:rFonts w:ascii="Arial" w:hAnsi="Arial" w:cs="Arial"/>
          <w:sz w:val="24"/>
          <w:szCs w:val="24"/>
          <w:lang w:val="es-ES_tradnl"/>
        </w:rPr>
        <w:t xml:space="preserve"> </w:t>
      </w:r>
    </w:p>
    <w:p w:rsidR="00476516" w:rsidRPr="00F87C8F" w:rsidRDefault="00476516" w:rsidP="0025741E">
      <w:pPr>
        <w:pStyle w:val="NormalWeb"/>
        <w:spacing w:before="0" w:beforeAutospacing="0" w:after="0" w:afterAutospacing="0" w:line="276" w:lineRule="auto"/>
        <w:ind w:right="49"/>
        <w:contextualSpacing/>
        <w:mirrorIndents/>
        <w:jc w:val="center"/>
        <w:rPr>
          <w:rFonts w:ascii="Arial" w:hAnsi="Arial" w:cs="Arial"/>
          <w:b/>
          <w:sz w:val="20"/>
          <w:szCs w:val="20"/>
        </w:rPr>
      </w:pPr>
      <w:r w:rsidRPr="00F87C8F">
        <w:rPr>
          <w:rFonts w:ascii="Arial" w:hAnsi="Arial" w:cs="Arial"/>
          <w:b/>
          <w:sz w:val="20"/>
          <w:szCs w:val="20"/>
        </w:rPr>
        <w:t>GLOSARIO</w:t>
      </w:r>
    </w:p>
    <w:tbl>
      <w:tblPr>
        <w:tblW w:w="0" w:type="auto"/>
        <w:jc w:val="center"/>
        <w:tblLook w:val="04A0" w:firstRow="1" w:lastRow="0" w:firstColumn="1" w:lastColumn="0" w:noHBand="0" w:noVBand="1"/>
      </w:tblPr>
      <w:tblGrid>
        <w:gridCol w:w="2405"/>
        <w:gridCol w:w="5812"/>
      </w:tblGrid>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 xml:space="preserve">Promovente: </w:t>
            </w:r>
          </w:p>
        </w:tc>
        <w:tc>
          <w:tcPr>
            <w:tcW w:w="5812" w:type="dxa"/>
          </w:tcPr>
          <w:p w:rsidR="00476516" w:rsidRPr="00F87C8F" w:rsidRDefault="006D213C" w:rsidP="0025741E">
            <w:pPr>
              <w:pStyle w:val="NormalWeb"/>
              <w:ind w:right="49"/>
              <w:contextualSpacing/>
              <w:mirrorIndents/>
              <w:rPr>
                <w:rFonts w:ascii="Arial" w:hAnsi="Arial" w:cs="Arial"/>
                <w:sz w:val="20"/>
                <w:szCs w:val="20"/>
              </w:rPr>
            </w:pPr>
            <w:r>
              <w:rPr>
                <w:rFonts w:ascii="Arial" w:hAnsi="Arial" w:cs="Arial"/>
                <w:sz w:val="20"/>
                <w:szCs w:val="20"/>
              </w:rPr>
              <w:t>El ciudadano</w:t>
            </w:r>
            <w:r w:rsidR="00476516" w:rsidRPr="00F87C8F">
              <w:rPr>
                <w:rFonts w:ascii="Arial" w:hAnsi="Arial" w:cs="Arial"/>
                <w:sz w:val="20"/>
                <w:szCs w:val="20"/>
              </w:rPr>
              <w:t xml:space="preserve"> </w:t>
            </w:r>
            <w:r w:rsidR="00755290">
              <w:rPr>
                <w:rFonts w:ascii="Arial" w:hAnsi="Arial" w:cs="Arial"/>
                <w:sz w:val="20"/>
                <w:szCs w:val="20"/>
              </w:rPr>
              <w:t>Erasto Rentería Vázquez</w:t>
            </w:r>
            <w:r w:rsidR="00695296" w:rsidRPr="00695296">
              <w:rPr>
                <w:rFonts w:ascii="Arial" w:hAnsi="Arial" w:cs="Arial"/>
                <w:sz w:val="20"/>
                <w:szCs w:val="20"/>
                <w:lang w:val="es-ES_tradnl"/>
              </w:rPr>
              <w:t>.</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 xml:space="preserve">Tribunal: </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Tribunal Electoral del Estado de Aguascalientes. </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MORENA:</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Partido Político MORENA. </w:t>
            </w:r>
          </w:p>
        </w:tc>
      </w:tr>
      <w:tr w:rsidR="008B2606" w:rsidRPr="00F87C8F" w:rsidTr="00A675A8">
        <w:trPr>
          <w:jc w:val="center"/>
        </w:trPr>
        <w:tc>
          <w:tcPr>
            <w:tcW w:w="2405" w:type="dxa"/>
          </w:tcPr>
          <w:p w:rsidR="008B2606" w:rsidRPr="00F87C8F" w:rsidRDefault="008B260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CEN:</w:t>
            </w:r>
          </w:p>
        </w:tc>
        <w:tc>
          <w:tcPr>
            <w:tcW w:w="5812" w:type="dxa"/>
          </w:tcPr>
          <w:p w:rsidR="008B2606" w:rsidRPr="00F87C8F" w:rsidRDefault="008B260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Comité Ejecutivo Nacional de MORENA. </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CNE:</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Comisión Nacional de Elecciones de MORENA. </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CNHJ:</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Comisión Nacional de Honestidad y Justicia de MORENA. </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Estatuto:</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Estatuto del MORENA.</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Dictamen</w:t>
            </w:r>
            <w:r w:rsidR="009A6B70" w:rsidRPr="00F87C8F">
              <w:rPr>
                <w:rFonts w:ascii="Arial" w:hAnsi="Arial" w:cs="Arial"/>
                <w:b/>
                <w:sz w:val="20"/>
                <w:szCs w:val="20"/>
              </w:rPr>
              <w:t xml:space="preserve"> de Propuesta de Candidatos</w:t>
            </w:r>
            <w:r w:rsidRPr="00F87C8F">
              <w:rPr>
                <w:rFonts w:ascii="Arial" w:hAnsi="Arial" w:cs="Arial"/>
                <w:b/>
                <w:sz w:val="20"/>
                <w:szCs w:val="20"/>
              </w:rPr>
              <w:t xml:space="preserve">: </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Dictamen de la Comisión Nacional de Elecciones sobre el Proceso Interno de Selección de Candidatos/as a </w:t>
            </w:r>
            <w:proofErr w:type="gramStart"/>
            <w:r w:rsidRPr="00F87C8F">
              <w:rPr>
                <w:rFonts w:ascii="Arial" w:hAnsi="Arial" w:cs="Arial"/>
                <w:sz w:val="20"/>
                <w:szCs w:val="20"/>
              </w:rPr>
              <w:t>Presidentes</w:t>
            </w:r>
            <w:proofErr w:type="gramEnd"/>
            <w:r w:rsidRPr="00F87C8F">
              <w:rPr>
                <w:rFonts w:ascii="Arial" w:hAnsi="Arial" w:cs="Arial"/>
                <w:sz w:val="20"/>
                <w:szCs w:val="20"/>
              </w:rPr>
              <w:t xml:space="preserve">, Síndicos, Regidores de los Ayuntamientos del Estado de Aguascalientes, para el Proceso Electoral 2018-2019, emitido en fecha cinco de abril del dos mil diecinueve. </w:t>
            </w:r>
          </w:p>
        </w:tc>
      </w:tr>
      <w:tr w:rsidR="008737DF" w:rsidRPr="00F87C8F" w:rsidTr="00A675A8">
        <w:trPr>
          <w:jc w:val="center"/>
        </w:trPr>
        <w:tc>
          <w:tcPr>
            <w:tcW w:w="2405" w:type="dxa"/>
          </w:tcPr>
          <w:p w:rsidR="008737DF" w:rsidRPr="00F87C8F" w:rsidRDefault="008737DF"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 xml:space="preserve">Dictamen del CEN: </w:t>
            </w:r>
          </w:p>
        </w:tc>
        <w:tc>
          <w:tcPr>
            <w:tcW w:w="5812" w:type="dxa"/>
          </w:tcPr>
          <w:p w:rsidR="008737DF" w:rsidRPr="00F87C8F" w:rsidRDefault="008737DF"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Dictamen del Comité Ejecutivo Nacional sobre el Proceso Interno de Selección de Candidatos/as a </w:t>
            </w:r>
            <w:proofErr w:type="gramStart"/>
            <w:r w:rsidRPr="00F87C8F">
              <w:rPr>
                <w:rFonts w:ascii="Arial" w:hAnsi="Arial" w:cs="Arial"/>
                <w:sz w:val="20"/>
                <w:szCs w:val="20"/>
              </w:rPr>
              <w:t>Presidentes</w:t>
            </w:r>
            <w:proofErr w:type="gramEnd"/>
            <w:r w:rsidRPr="00F87C8F">
              <w:rPr>
                <w:rFonts w:ascii="Arial" w:hAnsi="Arial" w:cs="Arial"/>
                <w:sz w:val="20"/>
                <w:szCs w:val="20"/>
              </w:rPr>
              <w:t>, Síndicos, Regidores de los Ayuntamientos del Estado De Aguascalientes, para el Proceso Electoral 2018 – 2019.</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Código Electoral:</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sz w:val="20"/>
                <w:szCs w:val="20"/>
              </w:rPr>
              <w:t xml:space="preserve">Código Electoral del Estado de Aguascalientes. </w:t>
            </w:r>
          </w:p>
        </w:tc>
      </w:tr>
      <w:tr w:rsidR="00476516" w:rsidRPr="00F87C8F" w:rsidTr="00A675A8">
        <w:trPr>
          <w:jc w:val="center"/>
        </w:trPr>
        <w:tc>
          <w:tcPr>
            <w:tcW w:w="2405"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b/>
                <w:sz w:val="20"/>
                <w:szCs w:val="20"/>
              </w:rPr>
            </w:pPr>
            <w:r w:rsidRPr="00F87C8F">
              <w:rPr>
                <w:rFonts w:ascii="Arial" w:hAnsi="Arial" w:cs="Arial"/>
                <w:b/>
                <w:sz w:val="20"/>
                <w:szCs w:val="20"/>
              </w:rPr>
              <w:t>Lineamientos:</w:t>
            </w:r>
          </w:p>
        </w:tc>
        <w:tc>
          <w:tcPr>
            <w:tcW w:w="5812" w:type="dxa"/>
          </w:tcPr>
          <w:p w:rsidR="00476516" w:rsidRPr="00F87C8F" w:rsidRDefault="00476516" w:rsidP="0025741E">
            <w:pPr>
              <w:pStyle w:val="NormalWeb"/>
              <w:spacing w:before="0" w:beforeAutospacing="0" w:after="0" w:afterAutospacing="0" w:line="276" w:lineRule="auto"/>
              <w:ind w:right="49"/>
              <w:contextualSpacing/>
              <w:mirrorIndents/>
              <w:jc w:val="both"/>
              <w:rPr>
                <w:rFonts w:ascii="Arial" w:hAnsi="Arial" w:cs="Arial"/>
                <w:sz w:val="20"/>
                <w:szCs w:val="20"/>
              </w:rPr>
            </w:pPr>
            <w:r w:rsidRPr="00F87C8F">
              <w:rPr>
                <w:rFonts w:ascii="Arial" w:hAnsi="Arial" w:cs="Arial"/>
                <w:color w:val="000000"/>
                <w:sz w:val="20"/>
                <w:szCs w:val="20"/>
              </w:rPr>
              <w:t>Los Lineamientos para la Tramitación, Sustanciación y Resolución del Juicio para la Protección de los Derechos Político-Electorales del Ciudadano, el Juicio Electoral y Asunto General, competencia del Tribunal Electoral del Estado de Aguascalientes</w:t>
            </w:r>
          </w:p>
        </w:tc>
      </w:tr>
    </w:tbl>
    <w:p w:rsidR="00476516" w:rsidRPr="00F87C8F" w:rsidRDefault="00476516" w:rsidP="0025741E">
      <w:pPr>
        <w:ind w:right="49"/>
        <w:jc w:val="both"/>
        <w:rPr>
          <w:rFonts w:ascii="Arial" w:hAnsi="Arial" w:cs="Arial"/>
          <w:sz w:val="20"/>
          <w:szCs w:val="20"/>
          <w:lang w:val="es-ES_tradnl"/>
        </w:rPr>
      </w:pPr>
    </w:p>
    <w:p w:rsidR="009A6B70" w:rsidRPr="00F87C8F" w:rsidRDefault="009A6B70" w:rsidP="0025741E">
      <w:pPr>
        <w:pStyle w:val="NormalWeb"/>
        <w:numPr>
          <w:ilvl w:val="0"/>
          <w:numId w:val="7"/>
        </w:numPr>
        <w:tabs>
          <w:tab w:val="left" w:pos="284"/>
        </w:tabs>
        <w:spacing w:before="0" w:beforeAutospacing="0" w:line="360" w:lineRule="auto"/>
        <w:ind w:left="0" w:right="49" w:firstLine="0"/>
        <w:contextualSpacing/>
        <w:mirrorIndents/>
        <w:jc w:val="both"/>
        <w:rPr>
          <w:rFonts w:ascii="Arial" w:hAnsi="Arial" w:cs="Arial"/>
        </w:rPr>
      </w:pPr>
      <w:r w:rsidRPr="00F87C8F">
        <w:rPr>
          <w:rFonts w:ascii="Arial" w:hAnsi="Arial" w:cs="Arial"/>
          <w:b/>
          <w:color w:val="000000"/>
        </w:rPr>
        <w:t xml:space="preserve">ANTECEDENTES. </w:t>
      </w:r>
      <w:r w:rsidRPr="00F87C8F">
        <w:rPr>
          <w:rFonts w:ascii="Arial" w:hAnsi="Arial" w:cs="Arial"/>
          <w:color w:val="000000"/>
        </w:rPr>
        <w:t xml:space="preserve">Todas las fechas corresponden al año dos mil diecinueve, salvo precisión en contrario. </w:t>
      </w:r>
    </w:p>
    <w:p w:rsidR="009A6B70" w:rsidRPr="00F87C8F" w:rsidRDefault="009A6B70" w:rsidP="0025741E">
      <w:pPr>
        <w:pStyle w:val="NormalWeb"/>
        <w:tabs>
          <w:tab w:val="left" w:pos="284"/>
        </w:tabs>
        <w:spacing w:after="0" w:afterAutospacing="0" w:line="360" w:lineRule="auto"/>
        <w:ind w:right="49"/>
        <w:contextualSpacing/>
        <w:mirrorIndents/>
        <w:jc w:val="both"/>
        <w:rPr>
          <w:rFonts w:ascii="Arial" w:hAnsi="Arial" w:cs="Arial"/>
        </w:rPr>
      </w:pPr>
    </w:p>
    <w:p w:rsidR="009A6B70" w:rsidRPr="00F87C8F" w:rsidRDefault="009A6B70" w:rsidP="0025741E">
      <w:pPr>
        <w:pStyle w:val="Prrafodelista"/>
        <w:numPr>
          <w:ilvl w:val="1"/>
          <w:numId w:val="7"/>
        </w:numPr>
        <w:tabs>
          <w:tab w:val="left" w:pos="426"/>
        </w:tabs>
        <w:spacing w:after="160" w:line="360" w:lineRule="auto"/>
        <w:ind w:left="0" w:right="49" w:firstLine="0"/>
        <w:jc w:val="both"/>
        <w:rPr>
          <w:rFonts w:ascii="Arial" w:hAnsi="Arial" w:cs="Arial"/>
          <w:sz w:val="24"/>
          <w:szCs w:val="24"/>
        </w:rPr>
      </w:pPr>
      <w:r w:rsidRPr="00F87C8F">
        <w:rPr>
          <w:rFonts w:ascii="Arial" w:hAnsi="Arial" w:cs="Arial"/>
          <w:b/>
          <w:sz w:val="24"/>
          <w:szCs w:val="24"/>
        </w:rPr>
        <w:lastRenderedPageBreak/>
        <w:t xml:space="preserve"> Publicación de la Convocatoria. </w:t>
      </w:r>
      <w:r w:rsidRPr="00F87C8F">
        <w:rPr>
          <w:rFonts w:ascii="Arial" w:hAnsi="Arial" w:cs="Arial"/>
          <w:sz w:val="24"/>
          <w:szCs w:val="24"/>
        </w:rPr>
        <w:t>El diez de enero se publicó la Convocatoria</w:t>
      </w:r>
      <w:r w:rsidRPr="00F87C8F">
        <w:rPr>
          <w:rStyle w:val="Refdenotaalpie"/>
          <w:rFonts w:ascii="Arial" w:hAnsi="Arial" w:cs="Arial"/>
          <w:sz w:val="24"/>
          <w:szCs w:val="24"/>
        </w:rPr>
        <w:footnoteReference w:id="1"/>
      </w:r>
      <w:r w:rsidRPr="00F87C8F">
        <w:rPr>
          <w:rFonts w:ascii="Arial" w:hAnsi="Arial" w:cs="Arial"/>
          <w:sz w:val="24"/>
          <w:szCs w:val="24"/>
        </w:rPr>
        <w:t xml:space="preserve"> al proceso de selección interna de candidatos/as para presidentes/as municipales, para ser postulados/as en el proceso electoral 2018-2019 por MORENA.</w:t>
      </w:r>
    </w:p>
    <w:p w:rsidR="009A6B70" w:rsidRPr="00F87C8F" w:rsidRDefault="009A6B70" w:rsidP="0025741E">
      <w:pPr>
        <w:pStyle w:val="Prrafodelista"/>
        <w:tabs>
          <w:tab w:val="left" w:pos="426"/>
        </w:tabs>
        <w:spacing w:after="160" w:line="360" w:lineRule="auto"/>
        <w:ind w:left="0" w:right="49"/>
        <w:jc w:val="both"/>
        <w:rPr>
          <w:rFonts w:ascii="Arial" w:hAnsi="Arial" w:cs="Arial"/>
          <w:sz w:val="24"/>
          <w:szCs w:val="24"/>
        </w:rPr>
      </w:pPr>
    </w:p>
    <w:p w:rsidR="009A6B70" w:rsidRPr="00F87C8F" w:rsidRDefault="009A6B70" w:rsidP="0025741E">
      <w:pPr>
        <w:pStyle w:val="Prrafodelista"/>
        <w:numPr>
          <w:ilvl w:val="1"/>
          <w:numId w:val="7"/>
        </w:numPr>
        <w:tabs>
          <w:tab w:val="left" w:pos="284"/>
          <w:tab w:val="left" w:pos="426"/>
        </w:tabs>
        <w:spacing w:after="160" w:line="360" w:lineRule="auto"/>
        <w:ind w:left="0" w:right="49" w:firstLine="0"/>
        <w:jc w:val="both"/>
        <w:rPr>
          <w:rFonts w:ascii="Arial" w:hAnsi="Arial" w:cs="Arial"/>
          <w:sz w:val="24"/>
          <w:szCs w:val="24"/>
        </w:rPr>
      </w:pPr>
      <w:r w:rsidRPr="00F87C8F">
        <w:rPr>
          <w:rFonts w:ascii="Arial" w:hAnsi="Arial" w:cs="Arial"/>
          <w:b/>
          <w:sz w:val="24"/>
          <w:szCs w:val="24"/>
        </w:rPr>
        <w:t xml:space="preserve"> Fe de erratas a la Convocatoria. </w:t>
      </w:r>
      <w:r w:rsidRPr="00F87C8F">
        <w:rPr>
          <w:rFonts w:ascii="Arial" w:hAnsi="Arial" w:cs="Arial"/>
          <w:sz w:val="24"/>
          <w:szCs w:val="24"/>
        </w:rPr>
        <w:t>El ocho de febrero, el Comité Ejecutivo publicó fe de erratas</w:t>
      </w:r>
      <w:r w:rsidRPr="00F87C8F">
        <w:rPr>
          <w:rStyle w:val="Refdenotaalpie"/>
          <w:rFonts w:ascii="Arial" w:hAnsi="Arial" w:cs="Arial"/>
          <w:sz w:val="24"/>
          <w:szCs w:val="24"/>
        </w:rPr>
        <w:footnoteReference w:id="2"/>
      </w:r>
      <w:r w:rsidRPr="00F87C8F">
        <w:rPr>
          <w:rFonts w:ascii="Arial" w:hAnsi="Arial" w:cs="Arial"/>
          <w:sz w:val="24"/>
          <w:szCs w:val="24"/>
        </w:rPr>
        <w:t xml:space="preserve"> respecto a la Convocatoria, estableciendo que el registro de aspirantes se realizaría ante un representante de la CNE el veintiséis de febrero y que la relación de solicitudes de registro aprobadas se publicaría el cinco de marzo en la página de internet de MORENA, </w:t>
      </w:r>
      <w:hyperlink r:id="rId8" w:history="1">
        <w:r w:rsidRPr="00F87C8F">
          <w:rPr>
            <w:rStyle w:val="Hipervnculo"/>
            <w:rFonts w:ascii="Arial" w:hAnsi="Arial" w:cs="Arial"/>
            <w:sz w:val="24"/>
            <w:szCs w:val="24"/>
          </w:rPr>
          <w:t>www.morena.si</w:t>
        </w:r>
      </w:hyperlink>
      <w:r w:rsidRPr="00F87C8F">
        <w:rPr>
          <w:rFonts w:ascii="Arial" w:hAnsi="Arial" w:cs="Arial"/>
          <w:sz w:val="24"/>
          <w:szCs w:val="24"/>
        </w:rPr>
        <w:t xml:space="preserve"> </w:t>
      </w:r>
    </w:p>
    <w:p w:rsidR="009A6B70" w:rsidRPr="00F87C8F" w:rsidRDefault="009A6B70" w:rsidP="0025741E">
      <w:pPr>
        <w:pStyle w:val="Prrafodelista"/>
        <w:spacing w:line="360" w:lineRule="auto"/>
        <w:ind w:left="0" w:right="49"/>
        <w:rPr>
          <w:rFonts w:ascii="Arial" w:hAnsi="Arial" w:cs="Arial"/>
          <w:b/>
          <w:sz w:val="24"/>
          <w:szCs w:val="24"/>
        </w:rPr>
      </w:pPr>
    </w:p>
    <w:p w:rsidR="009A6B70" w:rsidRPr="00F87C8F" w:rsidRDefault="009A6B70" w:rsidP="0025741E">
      <w:pPr>
        <w:pStyle w:val="Prrafodelista"/>
        <w:numPr>
          <w:ilvl w:val="1"/>
          <w:numId w:val="7"/>
        </w:numPr>
        <w:tabs>
          <w:tab w:val="left" w:pos="426"/>
        </w:tabs>
        <w:spacing w:after="160" w:line="360" w:lineRule="auto"/>
        <w:ind w:left="0" w:right="49" w:firstLine="0"/>
        <w:jc w:val="both"/>
        <w:rPr>
          <w:rFonts w:ascii="Arial" w:hAnsi="Arial" w:cs="Arial"/>
          <w:sz w:val="24"/>
          <w:szCs w:val="24"/>
        </w:rPr>
      </w:pPr>
      <w:r w:rsidRPr="00F87C8F">
        <w:rPr>
          <w:rFonts w:ascii="Arial" w:hAnsi="Arial" w:cs="Arial"/>
          <w:b/>
          <w:sz w:val="24"/>
          <w:szCs w:val="24"/>
        </w:rPr>
        <w:t xml:space="preserve"> Registro de aspirantes. </w:t>
      </w:r>
      <w:r w:rsidRPr="00F87C8F">
        <w:rPr>
          <w:rFonts w:ascii="Arial" w:hAnsi="Arial" w:cs="Arial"/>
          <w:sz w:val="24"/>
          <w:szCs w:val="24"/>
        </w:rPr>
        <w:t xml:space="preserve">El veintiséis de febrero, se llevó a cabo el registro de los aspirantes a candidaturas de presidentes/as municipales del Estado, por parte de la CNE. </w:t>
      </w:r>
    </w:p>
    <w:p w:rsidR="009A6B70" w:rsidRPr="00F87C8F" w:rsidRDefault="009A6B70" w:rsidP="0025741E">
      <w:pPr>
        <w:pStyle w:val="Prrafodelista"/>
        <w:spacing w:line="360" w:lineRule="auto"/>
        <w:ind w:left="0" w:right="49"/>
        <w:rPr>
          <w:rFonts w:ascii="Arial" w:hAnsi="Arial" w:cs="Arial"/>
          <w:sz w:val="24"/>
          <w:szCs w:val="24"/>
        </w:rPr>
      </w:pPr>
    </w:p>
    <w:p w:rsidR="009A6B70" w:rsidRPr="00F87C8F" w:rsidRDefault="009A6B70" w:rsidP="0025741E">
      <w:pPr>
        <w:pStyle w:val="Prrafodelista"/>
        <w:numPr>
          <w:ilvl w:val="1"/>
          <w:numId w:val="7"/>
        </w:numPr>
        <w:tabs>
          <w:tab w:val="left" w:pos="142"/>
          <w:tab w:val="left" w:pos="284"/>
          <w:tab w:val="left" w:pos="426"/>
        </w:tabs>
        <w:spacing w:after="160" w:line="360" w:lineRule="auto"/>
        <w:ind w:left="0" w:right="49" w:firstLine="0"/>
        <w:jc w:val="both"/>
        <w:rPr>
          <w:rFonts w:ascii="Arial" w:hAnsi="Arial" w:cs="Arial"/>
          <w:sz w:val="24"/>
          <w:szCs w:val="24"/>
        </w:rPr>
      </w:pPr>
      <w:r w:rsidRPr="00F87C8F">
        <w:rPr>
          <w:rFonts w:ascii="Arial" w:hAnsi="Arial" w:cs="Arial"/>
          <w:b/>
          <w:sz w:val="24"/>
          <w:szCs w:val="24"/>
        </w:rPr>
        <w:t xml:space="preserve"> Emisión y Publicación de Dictamen de aprobación de solicitudes de registro. </w:t>
      </w:r>
      <w:r w:rsidRPr="00F87C8F">
        <w:rPr>
          <w:rFonts w:ascii="Arial" w:hAnsi="Arial" w:cs="Arial"/>
          <w:sz w:val="24"/>
          <w:szCs w:val="24"/>
        </w:rPr>
        <w:t>El cuatro de marzo, la CNE emitió el Dictamen</w:t>
      </w:r>
      <w:r w:rsidRPr="00F87C8F">
        <w:rPr>
          <w:rStyle w:val="Refdenotaalpie"/>
          <w:rFonts w:ascii="Arial" w:hAnsi="Arial" w:cs="Arial"/>
          <w:sz w:val="24"/>
          <w:szCs w:val="24"/>
        </w:rPr>
        <w:footnoteReference w:id="3"/>
      </w:r>
      <w:r w:rsidRPr="00F87C8F">
        <w:rPr>
          <w:rFonts w:ascii="Arial" w:hAnsi="Arial" w:cs="Arial"/>
          <w:sz w:val="24"/>
          <w:szCs w:val="24"/>
        </w:rPr>
        <w:t xml:space="preserve"> por el que dio a conocer la lista de las solicitudes de registro aprobadas de las candidaturas a </w:t>
      </w:r>
      <w:proofErr w:type="gramStart"/>
      <w:r w:rsidRPr="00F87C8F">
        <w:rPr>
          <w:rFonts w:ascii="Arial" w:hAnsi="Arial" w:cs="Arial"/>
          <w:sz w:val="24"/>
          <w:szCs w:val="24"/>
        </w:rPr>
        <w:t>Presidentes</w:t>
      </w:r>
      <w:proofErr w:type="gramEnd"/>
      <w:r w:rsidRPr="00F87C8F">
        <w:rPr>
          <w:rFonts w:ascii="Arial" w:hAnsi="Arial" w:cs="Arial"/>
          <w:sz w:val="24"/>
          <w:szCs w:val="24"/>
        </w:rPr>
        <w:t xml:space="preserve">/as Municipales del Estado de Aguascalientes, de determinación que se notificó mediante su publicación en la página electrónica de MORENA, el cinco de marzo. </w:t>
      </w:r>
    </w:p>
    <w:p w:rsidR="009A6B70" w:rsidRPr="00F87C8F" w:rsidRDefault="009A6B70" w:rsidP="0025741E">
      <w:pPr>
        <w:pStyle w:val="Prrafodelista"/>
        <w:spacing w:line="360" w:lineRule="auto"/>
        <w:ind w:left="0" w:right="49"/>
        <w:rPr>
          <w:rFonts w:ascii="Arial" w:hAnsi="Arial" w:cs="Arial"/>
          <w:sz w:val="24"/>
          <w:szCs w:val="24"/>
        </w:rPr>
      </w:pPr>
    </w:p>
    <w:p w:rsidR="009A6B70" w:rsidRPr="00F87C8F" w:rsidRDefault="009A6B70" w:rsidP="0025741E">
      <w:pPr>
        <w:pStyle w:val="Prrafodelista"/>
        <w:numPr>
          <w:ilvl w:val="1"/>
          <w:numId w:val="7"/>
        </w:numPr>
        <w:tabs>
          <w:tab w:val="left" w:pos="426"/>
        </w:tabs>
        <w:spacing w:after="160" w:line="360" w:lineRule="auto"/>
        <w:ind w:left="0" w:right="49" w:firstLine="0"/>
        <w:jc w:val="both"/>
        <w:rPr>
          <w:rFonts w:ascii="Arial" w:hAnsi="Arial" w:cs="Arial"/>
          <w:sz w:val="24"/>
          <w:szCs w:val="24"/>
        </w:rPr>
      </w:pPr>
      <w:r w:rsidRPr="00F87C8F">
        <w:rPr>
          <w:rFonts w:ascii="Arial" w:hAnsi="Arial" w:cs="Arial"/>
          <w:b/>
          <w:sz w:val="24"/>
          <w:szCs w:val="24"/>
        </w:rPr>
        <w:t xml:space="preserve"> Fe de erratas del Dictamen. </w:t>
      </w:r>
      <w:r w:rsidRPr="00F87C8F">
        <w:rPr>
          <w:rFonts w:ascii="Arial" w:hAnsi="Arial" w:cs="Arial"/>
          <w:sz w:val="24"/>
          <w:szCs w:val="24"/>
        </w:rPr>
        <w:t>El cinco de marzo se publicó en el sitio web de MORENA la fe de erratas del Dictamen</w:t>
      </w:r>
      <w:r w:rsidRPr="00F87C8F">
        <w:rPr>
          <w:rStyle w:val="Refdenotaalpie"/>
          <w:rFonts w:ascii="Arial" w:hAnsi="Arial" w:cs="Arial"/>
          <w:sz w:val="24"/>
          <w:szCs w:val="24"/>
        </w:rPr>
        <w:footnoteReference w:id="4"/>
      </w:r>
      <w:r w:rsidRPr="00F87C8F">
        <w:rPr>
          <w:rFonts w:ascii="Arial" w:hAnsi="Arial" w:cs="Arial"/>
          <w:sz w:val="24"/>
          <w:szCs w:val="24"/>
        </w:rPr>
        <w:t xml:space="preserve">, señalando que de una revisión de la publicación, se había observado la existencia de errores en los municipios de Aguascalientes y San Francisco de los Romo, y que la lista de solicitudes de registro aprobadas para el Ayuntamiento de Aguascalientes, se conformaba por los ciudadanos Manuel de Jesús Bañuelos Hernández, Eulogio Monreal Ávila y Luis Armando Salazar Mora, en tanto que la de San Francisco de los Romo, se conformaba por los ciudadanos Alejandro Mendoza Villalobos, Mario Alberto Sandoval Ruvalcaba y Ma. Guadalupe Martínez Vázquez. </w:t>
      </w:r>
    </w:p>
    <w:p w:rsidR="009A6B70" w:rsidRPr="00F87C8F" w:rsidRDefault="009A6B70" w:rsidP="0025741E">
      <w:pPr>
        <w:pStyle w:val="Prrafodelista"/>
        <w:spacing w:line="360" w:lineRule="auto"/>
        <w:ind w:left="0" w:right="49"/>
        <w:rPr>
          <w:rFonts w:ascii="Arial" w:hAnsi="Arial" w:cs="Arial"/>
          <w:sz w:val="24"/>
          <w:szCs w:val="24"/>
        </w:rPr>
      </w:pPr>
    </w:p>
    <w:p w:rsidR="00476516" w:rsidRPr="00F87C8F" w:rsidRDefault="00476516" w:rsidP="0025741E">
      <w:pPr>
        <w:pStyle w:val="Prrafodelista"/>
        <w:widowControl w:val="0"/>
        <w:numPr>
          <w:ilvl w:val="1"/>
          <w:numId w:val="7"/>
        </w:numPr>
        <w:tabs>
          <w:tab w:val="left" w:pos="0"/>
          <w:tab w:val="left" w:pos="142"/>
          <w:tab w:val="left" w:pos="284"/>
          <w:tab w:val="left" w:pos="376"/>
          <w:tab w:val="left" w:pos="567"/>
        </w:tabs>
        <w:autoSpaceDE w:val="0"/>
        <w:autoSpaceDN w:val="0"/>
        <w:spacing w:after="0" w:line="360" w:lineRule="auto"/>
        <w:ind w:left="0" w:right="49" w:firstLine="0"/>
        <w:jc w:val="both"/>
        <w:rPr>
          <w:rFonts w:ascii="Arial" w:hAnsi="Arial" w:cs="Arial"/>
          <w:sz w:val="24"/>
          <w:szCs w:val="24"/>
        </w:rPr>
      </w:pPr>
      <w:r w:rsidRPr="00F87C8F">
        <w:rPr>
          <w:rFonts w:ascii="Arial" w:hAnsi="Arial" w:cs="Arial"/>
          <w:b/>
          <w:sz w:val="24"/>
          <w:szCs w:val="24"/>
        </w:rPr>
        <w:t xml:space="preserve">Dictamen de </w:t>
      </w:r>
      <w:r w:rsidR="008737DF" w:rsidRPr="00F87C8F">
        <w:rPr>
          <w:rFonts w:ascii="Arial" w:hAnsi="Arial" w:cs="Arial"/>
          <w:b/>
          <w:sz w:val="24"/>
          <w:szCs w:val="24"/>
        </w:rPr>
        <w:t>Propuesta de Candidatos.</w:t>
      </w:r>
      <w:r w:rsidRPr="00F87C8F">
        <w:rPr>
          <w:rFonts w:ascii="Arial" w:hAnsi="Arial" w:cs="Arial"/>
          <w:b/>
          <w:sz w:val="24"/>
          <w:szCs w:val="24"/>
        </w:rPr>
        <w:t xml:space="preserve"> </w:t>
      </w:r>
      <w:r w:rsidRPr="00F87C8F">
        <w:rPr>
          <w:rFonts w:ascii="Arial" w:hAnsi="Arial" w:cs="Arial"/>
          <w:sz w:val="24"/>
          <w:szCs w:val="24"/>
        </w:rPr>
        <w:t xml:space="preserve">En fecha </w:t>
      </w:r>
      <w:r w:rsidR="008737DF" w:rsidRPr="00F87C8F">
        <w:rPr>
          <w:rFonts w:ascii="Arial" w:hAnsi="Arial" w:cs="Arial"/>
          <w:sz w:val="24"/>
          <w:szCs w:val="24"/>
        </w:rPr>
        <w:t xml:space="preserve">cinco de abril, la CNE emitió el Dictamen por el que conforme a lo dispuesto por la base 20 de la Convocatoria realizó el listado final de candidaturas externas e internas, por mayoría relativa y por representación proporcional, a efecto de su sanción y aprobación por parte del CEN. </w:t>
      </w:r>
    </w:p>
    <w:p w:rsidR="00476516" w:rsidRPr="00F87C8F" w:rsidRDefault="00476516" w:rsidP="0025741E">
      <w:pPr>
        <w:pStyle w:val="Prrafodelista"/>
        <w:widowControl w:val="0"/>
        <w:tabs>
          <w:tab w:val="left" w:pos="0"/>
          <w:tab w:val="left" w:pos="142"/>
          <w:tab w:val="left" w:pos="284"/>
          <w:tab w:val="left" w:pos="376"/>
        </w:tabs>
        <w:autoSpaceDE w:val="0"/>
        <w:autoSpaceDN w:val="0"/>
        <w:spacing w:after="0" w:line="360" w:lineRule="auto"/>
        <w:ind w:left="0" w:right="49"/>
        <w:jc w:val="both"/>
        <w:rPr>
          <w:rFonts w:ascii="Arial" w:hAnsi="Arial" w:cs="Arial"/>
          <w:b/>
          <w:sz w:val="24"/>
          <w:szCs w:val="24"/>
        </w:rPr>
      </w:pPr>
    </w:p>
    <w:p w:rsidR="00476516" w:rsidRPr="00F87C8F" w:rsidRDefault="00476516" w:rsidP="0025741E">
      <w:pPr>
        <w:pStyle w:val="Prrafodelista"/>
        <w:widowControl w:val="0"/>
        <w:numPr>
          <w:ilvl w:val="1"/>
          <w:numId w:val="7"/>
        </w:numPr>
        <w:tabs>
          <w:tab w:val="left" w:pos="0"/>
          <w:tab w:val="left" w:pos="142"/>
          <w:tab w:val="left" w:pos="376"/>
          <w:tab w:val="left" w:pos="567"/>
        </w:tabs>
        <w:autoSpaceDE w:val="0"/>
        <w:autoSpaceDN w:val="0"/>
        <w:spacing w:after="0" w:line="360" w:lineRule="auto"/>
        <w:ind w:left="0" w:right="49" w:firstLine="0"/>
        <w:jc w:val="both"/>
        <w:rPr>
          <w:rFonts w:ascii="Arial" w:hAnsi="Arial" w:cs="Arial"/>
          <w:b/>
          <w:sz w:val="24"/>
          <w:szCs w:val="24"/>
        </w:rPr>
      </w:pPr>
      <w:r w:rsidRPr="00F87C8F">
        <w:rPr>
          <w:rFonts w:ascii="Arial" w:hAnsi="Arial" w:cs="Arial"/>
          <w:b/>
          <w:sz w:val="24"/>
          <w:szCs w:val="24"/>
        </w:rPr>
        <w:t xml:space="preserve">Juicio Ciudadano Local. </w:t>
      </w:r>
      <w:r w:rsidRPr="00F87C8F">
        <w:rPr>
          <w:rFonts w:ascii="Arial" w:hAnsi="Arial" w:cs="Arial"/>
          <w:sz w:val="24"/>
          <w:szCs w:val="24"/>
        </w:rPr>
        <w:t xml:space="preserve">En fecha </w:t>
      </w:r>
      <w:r w:rsidR="00755290">
        <w:rPr>
          <w:rFonts w:ascii="Arial" w:hAnsi="Arial" w:cs="Arial"/>
          <w:sz w:val="24"/>
          <w:szCs w:val="24"/>
        </w:rPr>
        <w:t>diez</w:t>
      </w:r>
      <w:r w:rsidRPr="00F87C8F">
        <w:rPr>
          <w:rFonts w:ascii="Arial" w:hAnsi="Arial" w:cs="Arial"/>
          <w:sz w:val="24"/>
          <w:szCs w:val="24"/>
        </w:rPr>
        <w:t xml:space="preserve"> de abril, </w:t>
      </w:r>
      <w:r w:rsidR="00B76AF0">
        <w:rPr>
          <w:rFonts w:ascii="Arial" w:hAnsi="Arial" w:cs="Arial"/>
          <w:sz w:val="24"/>
          <w:szCs w:val="24"/>
        </w:rPr>
        <w:t>el</w:t>
      </w:r>
      <w:r w:rsidRPr="00F87C8F">
        <w:rPr>
          <w:rFonts w:ascii="Arial" w:hAnsi="Arial" w:cs="Arial"/>
          <w:sz w:val="24"/>
          <w:szCs w:val="24"/>
        </w:rPr>
        <w:t xml:space="preserve"> promovente presentó ante este órgano jurisdiccional, demanda por la que promueve juicio para la protección de los derechos político electorales del ciudadano, en contra del</w:t>
      </w:r>
      <w:r w:rsidR="008737DF" w:rsidRPr="00F87C8F">
        <w:rPr>
          <w:rFonts w:ascii="Arial" w:hAnsi="Arial" w:cs="Arial"/>
          <w:sz w:val="24"/>
          <w:szCs w:val="24"/>
        </w:rPr>
        <w:t xml:space="preserve"> Dictamen a que se refiere el punto 1.6., y que se radicó bajo el expediente TEEA-JDC</w:t>
      </w:r>
      <w:r w:rsidR="00C02899">
        <w:rPr>
          <w:rFonts w:ascii="Arial" w:hAnsi="Arial" w:cs="Arial"/>
          <w:sz w:val="24"/>
          <w:szCs w:val="24"/>
        </w:rPr>
        <w:t>-031</w:t>
      </w:r>
      <w:r w:rsidR="008737DF" w:rsidRPr="00F87C8F">
        <w:rPr>
          <w:rFonts w:ascii="Arial" w:hAnsi="Arial" w:cs="Arial"/>
          <w:sz w:val="24"/>
          <w:szCs w:val="24"/>
        </w:rPr>
        <w:t>/2019</w:t>
      </w:r>
      <w:r w:rsidR="00C02899">
        <w:rPr>
          <w:rFonts w:ascii="Arial" w:hAnsi="Arial" w:cs="Arial"/>
          <w:sz w:val="24"/>
          <w:szCs w:val="24"/>
        </w:rPr>
        <w:t>.</w:t>
      </w:r>
      <w:r w:rsidRPr="00F87C8F">
        <w:rPr>
          <w:rFonts w:ascii="Arial" w:hAnsi="Arial" w:cs="Arial"/>
          <w:sz w:val="24"/>
          <w:szCs w:val="24"/>
        </w:rPr>
        <w:t xml:space="preserve"> </w:t>
      </w:r>
    </w:p>
    <w:p w:rsidR="008737DF" w:rsidRPr="00F87C8F" w:rsidRDefault="008737DF" w:rsidP="0025741E">
      <w:pPr>
        <w:pStyle w:val="Prrafodelista"/>
        <w:spacing w:line="360" w:lineRule="auto"/>
        <w:ind w:left="0" w:right="49"/>
        <w:rPr>
          <w:rFonts w:ascii="Arial" w:hAnsi="Arial" w:cs="Arial"/>
          <w:b/>
          <w:sz w:val="24"/>
          <w:szCs w:val="24"/>
        </w:rPr>
      </w:pPr>
    </w:p>
    <w:p w:rsidR="008737DF" w:rsidRPr="00F87C8F" w:rsidRDefault="008B2606" w:rsidP="0025741E">
      <w:pPr>
        <w:pStyle w:val="Prrafodelista"/>
        <w:widowControl w:val="0"/>
        <w:numPr>
          <w:ilvl w:val="1"/>
          <w:numId w:val="7"/>
        </w:numPr>
        <w:tabs>
          <w:tab w:val="left" w:pos="0"/>
          <w:tab w:val="left" w:pos="142"/>
          <w:tab w:val="left" w:pos="376"/>
          <w:tab w:val="left" w:pos="567"/>
        </w:tabs>
        <w:autoSpaceDE w:val="0"/>
        <w:autoSpaceDN w:val="0"/>
        <w:spacing w:after="0" w:line="360" w:lineRule="auto"/>
        <w:ind w:left="0" w:right="49" w:firstLine="0"/>
        <w:jc w:val="both"/>
        <w:rPr>
          <w:rFonts w:ascii="Arial" w:hAnsi="Arial" w:cs="Arial"/>
          <w:sz w:val="24"/>
          <w:szCs w:val="24"/>
        </w:rPr>
      </w:pPr>
      <w:r w:rsidRPr="00F87C8F">
        <w:rPr>
          <w:rFonts w:ascii="Arial" w:hAnsi="Arial" w:cs="Arial"/>
          <w:b/>
          <w:sz w:val="24"/>
          <w:szCs w:val="24"/>
        </w:rPr>
        <w:t xml:space="preserve">Dictamen del CEN. </w:t>
      </w:r>
      <w:r w:rsidRPr="00F87C8F">
        <w:rPr>
          <w:rFonts w:ascii="Arial" w:hAnsi="Arial" w:cs="Arial"/>
          <w:sz w:val="24"/>
          <w:szCs w:val="24"/>
        </w:rPr>
        <w:t xml:space="preserve">En fecha diez de abril, el CEN emitió el Dictamen por el que, en cumplimiento a lo dispuesto en la Base 20 de la Convocatoria, dio a conocer la aprobación final de candidaturas a </w:t>
      </w:r>
      <w:proofErr w:type="gramStart"/>
      <w:r w:rsidRPr="00F87C8F">
        <w:rPr>
          <w:rFonts w:ascii="Arial" w:hAnsi="Arial" w:cs="Arial"/>
          <w:sz w:val="24"/>
          <w:szCs w:val="24"/>
        </w:rPr>
        <w:t>Presidentes</w:t>
      </w:r>
      <w:proofErr w:type="gramEnd"/>
      <w:r w:rsidRPr="00F87C8F">
        <w:rPr>
          <w:rFonts w:ascii="Arial" w:hAnsi="Arial" w:cs="Arial"/>
          <w:sz w:val="24"/>
          <w:szCs w:val="24"/>
        </w:rPr>
        <w:t xml:space="preserve">/as, Síndicos/as y Regidores/as de los Ayuntamientos del Estado de Aguascalientes para el Proceso Electoral Local 2018-2019, acto con el que adquirió firmeza y definitividad el Dictamen Propuesta de Candidatos emitido en fecha cinco de abril por la CNE. </w:t>
      </w:r>
    </w:p>
    <w:p w:rsidR="00476516" w:rsidRPr="00F87C8F" w:rsidRDefault="00476516" w:rsidP="0025741E">
      <w:pPr>
        <w:pStyle w:val="Prrafodelista"/>
        <w:spacing w:line="360" w:lineRule="auto"/>
        <w:ind w:left="0" w:right="49"/>
        <w:rPr>
          <w:rFonts w:ascii="Arial" w:hAnsi="Arial" w:cs="Arial"/>
          <w:b/>
          <w:sz w:val="24"/>
          <w:szCs w:val="24"/>
        </w:rPr>
      </w:pPr>
    </w:p>
    <w:p w:rsidR="0025741E" w:rsidRPr="0025741E" w:rsidRDefault="00476516" w:rsidP="0025741E">
      <w:pPr>
        <w:pStyle w:val="Prrafodelista"/>
        <w:widowControl w:val="0"/>
        <w:numPr>
          <w:ilvl w:val="0"/>
          <w:numId w:val="7"/>
        </w:numPr>
        <w:tabs>
          <w:tab w:val="left" w:pos="0"/>
          <w:tab w:val="left" w:pos="142"/>
          <w:tab w:val="left" w:pos="284"/>
          <w:tab w:val="left" w:pos="376"/>
        </w:tabs>
        <w:autoSpaceDE w:val="0"/>
        <w:autoSpaceDN w:val="0"/>
        <w:spacing w:after="0" w:line="360" w:lineRule="auto"/>
        <w:ind w:left="0" w:right="49" w:firstLine="0"/>
        <w:mirrorIndents/>
        <w:jc w:val="both"/>
        <w:rPr>
          <w:rFonts w:ascii="Arial" w:hAnsi="Arial" w:cs="Arial"/>
          <w:sz w:val="24"/>
          <w:szCs w:val="24"/>
        </w:rPr>
      </w:pPr>
      <w:r w:rsidRPr="0025741E">
        <w:rPr>
          <w:rFonts w:ascii="Arial" w:hAnsi="Arial" w:cs="Arial"/>
          <w:b/>
          <w:sz w:val="24"/>
          <w:szCs w:val="24"/>
        </w:rPr>
        <w:t xml:space="preserve">COMPETENCIA. </w:t>
      </w:r>
      <w:r w:rsidRPr="0025741E">
        <w:rPr>
          <w:rFonts w:ascii="Arial" w:hAnsi="Arial" w:cs="Arial"/>
          <w:sz w:val="24"/>
          <w:szCs w:val="24"/>
        </w:rPr>
        <w:t xml:space="preserve">De conformidad con lo previsto en los artículos 1, 2, 9 y 10, fracción IV, de los Lineamientos, este Tribunal es competente para resolver los Juicios para la Protección de los Derechos Político-Electorales del Ciudadano, interpuestos por el promovente, por tratarse de actos que incidente en su derecho político electoral de afiliación. Lo anterior, con base en la </w:t>
      </w:r>
      <w:r w:rsidRPr="0025741E">
        <w:rPr>
          <w:rFonts w:ascii="Arial" w:hAnsi="Arial" w:cs="Arial"/>
          <w:b/>
          <w:sz w:val="24"/>
          <w:szCs w:val="24"/>
        </w:rPr>
        <w:t>Jurisprudencia 3/2018</w:t>
      </w:r>
      <w:r w:rsidRPr="0025741E">
        <w:rPr>
          <w:rFonts w:ascii="Arial" w:hAnsi="Arial" w:cs="Arial"/>
          <w:sz w:val="24"/>
          <w:szCs w:val="24"/>
        </w:rPr>
        <w:t xml:space="preserve">, de rubro: </w:t>
      </w:r>
      <w:r w:rsidRPr="0025741E">
        <w:rPr>
          <w:rFonts w:ascii="Arial" w:hAnsi="Arial" w:cs="Arial"/>
          <w:b/>
          <w:bCs/>
          <w:sz w:val="24"/>
          <w:szCs w:val="24"/>
        </w:rPr>
        <w:t>DERECHO DE AFILIACIÓN. COMPETENCIA PARA CONOCER DE ACTOS U OMISIONES ATRIBUIDOS A LOS ÓRGANOS PARTIDISTAS NACIONALES QUE LO AFECTAN.</w:t>
      </w:r>
      <w:r w:rsidRPr="00F87C8F">
        <w:rPr>
          <w:rStyle w:val="Refdenotaalpie"/>
          <w:rFonts w:ascii="Arial" w:hAnsi="Arial" w:cs="Arial"/>
          <w:b/>
          <w:bCs/>
          <w:sz w:val="24"/>
          <w:szCs w:val="24"/>
        </w:rPr>
        <w:footnoteReference w:id="5"/>
      </w:r>
    </w:p>
    <w:p w:rsidR="0025741E" w:rsidRDefault="0025741E" w:rsidP="0025741E">
      <w:pPr>
        <w:pStyle w:val="Prrafodelista"/>
        <w:widowControl w:val="0"/>
        <w:tabs>
          <w:tab w:val="left" w:pos="0"/>
          <w:tab w:val="left" w:pos="142"/>
          <w:tab w:val="left" w:pos="284"/>
          <w:tab w:val="left" w:pos="376"/>
        </w:tabs>
        <w:autoSpaceDE w:val="0"/>
        <w:autoSpaceDN w:val="0"/>
        <w:spacing w:after="0" w:line="360" w:lineRule="auto"/>
        <w:ind w:left="0" w:right="49"/>
        <w:mirrorIndents/>
        <w:jc w:val="both"/>
        <w:rPr>
          <w:rFonts w:ascii="Arial" w:hAnsi="Arial" w:cs="Arial"/>
          <w:b/>
          <w:bCs/>
          <w:sz w:val="24"/>
          <w:szCs w:val="24"/>
        </w:rPr>
      </w:pPr>
    </w:p>
    <w:p w:rsidR="00476516" w:rsidRPr="0025741E" w:rsidRDefault="00476516" w:rsidP="0025741E">
      <w:pPr>
        <w:pStyle w:val="Prrafodelista"/>
        <w:widowControl w:val="0"/>
        <w:tabs>
          <w:tab w:val="left" w:pos="0"/>
          <w:tab w:val="left" w:pos="142"/>
          <w:tab w:val="left" w:pos="284"/>
          <w:tab w:val="left" w:pos="376"/>
        </w:tabs>
        <w:autoSpaceDE w:val="0"/>
        <w:autoSpaceDN w:val="0"/>
        <w:spacing w:after="0" w:line="360" w:lineRule="auto"/>
        <w:ind w:left="0" w:right="49"/>
        <w:mirrorIndents/>
        <w:jc w:val="both"/>
        <w:rPr>
          <w:rFonts w:ascii="Arial" w:hAnsi="Arial" w:cs="Arial"/>
          <w:sz w:val="24"/>
          <w:szCs w:val="24"/>
        </w:rPr>
      </w:pPr>
      <w:r w:rsidRPr="0025741E">
        <w:rPr>
          <w:rFonts w:ascii="Arial" w:hAnsi="Arial" w:cs="Arial"/>
          <w:b/>
          <w:sz w:val="24"/>
          <w:szCs w:val="24"/>
        </w:rPr>
        <w:t xml:space="preserve">ACTUACIÓN COLEGIADA. </w:t>
      </w:r>
      <w:r w:rsidRPr="0025741E">
        <w:rPr>
          <w:rFonts w:ascii="Arial" w:hAnsi="Arial" w:cs="Arial"/>
          <w:sz w:val="24"/>
          <w:szCs w:val="24"/>
        </w:rPr>
        <w:t xml:space="preserve">La materia sobre la que versa la determinación que se emite compete al Pleno de este Tribunal Electoral, actuando en forma colegiada, en virtud de no tratarse de una cuestión de mero trámite que se constriña a la facultad concedida al Magistrado Instructor en lo individual, ya </w:t>
      </w:r>
      <w:r w:rsidRPr="0025741E">
        <w:rPr>
          <w:rFonts w:ascii="Arial" w:hAnsi="Arial" w:cs="Arial"/>
          <w:sz w:val="24"/>
          <w:szCs w:val="24"/>
        </w:rPr>
        <w:lastRenderedPageBreak/>
        <w:t xml:space="preserve">que se trata de una actuación distinta a las ordinarias que debe ser resuelta colegiadamente, toda vez que implica una modificación importante en el curso del procedimiento. </w:t>
      </w:r>
    </w:p>
    <w:p w:rsidR="00476516" w:rsidRPr="00F87C8F" w:rsidRDefault="00476516" w:rsidP="0025741E">
      <w:pPr>
        <w:pStyle w:val="Textoindependiente"/>
        <w:spacing w:line="360" w:lineRule="auto"/>
        <w:ind w:right="49"/>
        <w:jc w:val="both"/>
        <w:rPr>
          <w:sz w:val="24"/>
          <w:szCs w:val="24"/>
          <w:lang w:val="es-MX"/>
        </w:rPr>
      </w:pPr>
    </w:p>
    <w:p w:rsidR="00476516" w:rsidRPr="00F87C8F" w:rsidRDefault="00476516" w:rsidP="0025741E">
      <w:pPr>
        <w:pStyle w:val="Textoindependiente"/>
        <w:spacing w:line="360" w:lineRule="auto"/>
        <w:ind w:right="49"/>
        <w:jc w:val="both"/>
        <w:rPr>
          <w:b/>
          <w:sz w:val="24"/>
          <w:szCs w:val="24"/>
          <w:lang w:val="es-MX"/>
        </w:rPr>
      </w:pPr>
      <w:r w:rsidRPr="00F87C8F">
        <w:rPr>
          <w:sz w:val="24"/>
          <w:szCs w:val="24"/>
          <w:lang w:val="es-MX"/>
        </w:rPr>
        <w:t>En el caso concreto, es necesario determinar la vía idónea por la que debe darse cauce legal a las pretensiones planteadas por el actor, lo que no constituye una actuación ordinaria que pueda quedar sujeta al criterio del Magistrado Instructor, razón por la que se somete a consideración del Pleno de este Tribunal Electoral.</w:t>
      </w:r>
    </w:p>
    <w:p w:rsidR="00BB6379" w:rsidRPr="00F87C8F" w:rsidRDefault="00476516" w:rsidP="0025741E">
      <w:pPr>
        <w:pStyle w:val="NormalWeb"/>
        <w:spacing w:line="360" w:lineRule="auto"/>
        <w:ind w:right="49"/>
        <w:contextualSpacing/>
        <w:mirrorIndents/>
        <w:jc w:val="both"/>
        <w:rPr>
          <w:rFonts w:ascii="Arial" w:hAnsi="Arial" w:cs="Arial"/>
          <w:b/>
        </w:rPr>
      </w:pPr>
      <w:r w:rsidRPr="00F87C8F">
        <w:rPr>
          <w:rFonts w:ascii="Arial" w:hAnsi="Arial" w:cs="Arial"/>
        </w:rPr>
        <w:t xml:space="preserve">Lo anterior, de conformidad con lo sostenido por el Tribunal Electoral del Poder Judicial de la Federación, en la tesis de jurisprudencia 11/99, de rubro y texto siguientes: </w:t>
      </w:r>
      <w:r w:rsidRPr="00F87C8F">
        <w:rPr>
          <w:rFonts w:ascii="Arial" w:hAnsi="Arial" w:cs="Arial"/>
          <w:b/>
        </w:rPr>
        <w:t>“MEDIOS DE IMPUGNACIÓN. LAS RESOLUCIONES O ACTUACIONES QUE IMPLIQUEN UNA MODIFICACIÓN EN LA SUSTANCIACIÓN DEL PROCEDIMIENTO ORDINARIO, SON COMPETENCIA DE LA SALA SUPERIOR Y NO DEL MAGISTRADO INSTRUCTOR.”</w:t>
      </w:r>
      <w:r w:rsidRPr="00F87C8F">
        <w:rPr>
          <w:rStyle w:val="Refdenotaalpie"/>
          <w:rFonts w:ascii="Arial" w:hAnsi="Arial" w:cs="Arial"/>
          <w:b/>
        </w:rPr>
        <w:footnoteReference w:id="6"/>
      </w:r>
    </w:p>
    <w:p w:rsidR="00476516" w:rsidRPr="00F87C8F" w:rsidRDefault="00476516" w:rsidP="0025741E">
      <w:pPr>
        <w:pStyle w:val="NormalWeb"/>
        <w:spacing w:line="360" w:lineRule="auto"/>
        <w:ind w:right="49"/>
        <w:contextualSpacing/>
        <w:mirrorIndents/>
        <w:jc w:val="both"/>
        <w:rPr>
          <w:rFonts w:ascii="Arial" w:hAnsi="Arial" w:cs="Arial"/>
        </w:rPr>
      </w:pPr>
    </w:p>
    <w:bookmarkEnd w:id="3"/>
    <w:p w:rsidR="00A4266D" w:rsidRPr="00F87C8F" w:rsidRDefault="002B2D5E" w:rsidP="0025741E">
      <w:pPr>
        <w:pStyle w:val="NormalWeb"/>
        <w:numPr>
          <w:ilvl w:val="0"/>
          <w:numId w:val="7"/>
        </w:numPr>
        <w:tabs>
          <w:tab w:val="left" w:pos="284"/>
        </w:tabs>
        <w:spacing w:line="360" w:lineRule="auto"/>
        <w:ind w:left="0" w:right="49" w:firstLine="0"/>
        <w:contextualSpacing/>
        <w:mirrorIndents/>
        <w:jc w:val="both"/>
        <w:rPr>
          <w:rFonts w:ascii="Arial" w:hAnsi="Arial" w:cs="Arial"/>
        </w:rPr>
      </w:pPr>
      <w:r w:rsidRPr="00F87C8F">
        <w:rPr>
          <w:rFonts w:ascii="Arial" w:hAnsi="Arial" w:cs="Arial"/>
          <w:b/>
        </w:rPr>
        <w:t>IMPROCEDENCIA DE LA VÍA PER SALTUM</w:t>
      </w:r>
      <w:r w:rsidR="00D70EFD" w:rsidRPr="00F87C8F">
        <w:rPr>
          <w:rFonts w:ascii="Arial" w:hAnsi="Arial" w:cs="Arial"/>
        </w:rPr>
        <w:t xml:space="preserve">. </w:t>
      </w:r>
      <w:r w:rsidR="00BA6AEC" w:rsidRPr="00BA6AEC">
        <w:rPr>
          <w:rFonts w:ascii="Arial" w:hAnsi="Arial" w:cs="Arial"/>
        </w:rPr>
        <w:t xml:space="preserve">Esta Tribunal considera que no es procedente conocer </w:t>
      </w:r>
      <w:r w:rsidR="00BA6AEC" w:rsidRPr="00D46835">
        <w:rPr>
          <w:rFonts w:ascii="Arial" w:hAnsi="Arial" w:cs="Arial"/>
          <w:i/>
        </w:rPr>
        <w:t xml:space="preserve">per </w:t>
      </w:r>
      <w:proofErr w:type="spellStart"/>
      <w:r w:rsidR="00BA6AEC" w:rsidRPr="00D46835">
        <w:rPr>
          <w:rFonts w:ascii="Arial" w:hAnsi="Arial" w:cs="Arial"/>
          <w:i/>
        </w:rPr>
        <w:t>saltum</w:t>
      </w:r>
      <w:proofErr w:type="spellEnd"/>
      <w:r w:rsidR="00BA6AEC" w:rsidRPr="00BA6AEC">
        <w:rPr>
          <w:rFonts w:ascii="Arial" w:hAnsi="Arial" w:cs="Arial"/>
        </w:rPr>
        <w:t xml:space="preserve"> el juicio ciudadano promovido por </w:t>
      </w:r>
      <w:r w:rsidR="00D4124E">
        <w:rPr>
          <w:rFonts w:ascii="Arial" w:hAnsi="Arial" w:cs="Arial"/>
        </w:rPr>
        <w:t>el actor</w:t>
      </w:r>
      <w:r w:rsidR="00BA6AEC" w:rsidRPr="00BA6AEC">
        <w:rPr>
          <w:rFonts w:ascii="Arial" w:hAnsi="Arial" w:cs="Arial"/>
        </w:rPr>
        <w:t>, al no colmarse el requisito de definitividad previsto en el Código Electoral.</w:t>
      </w:r>
      <w:r w:rsidR="00FD4F38" w:rsidRPr="00F87C8F">
        <w:rPr>
          <w:rFonts w:ascii="Arial" w:hAnsi="Arial" w:cs="Arial"/>
        </w:rPr>
        <w:t xml:space="preserve"> Lo anterior, </w:t>
      </w:r>
      <w:r w:rsidR="002D33EA" w:rsidRPr="00F87C8F">
        <w:rPr>
          <w:rFonts w:ascii="Arial" w:hAnsi="Arial" w:cs="Arial"/>
        </w:rPr>
        <w:t xml:space="preserve">toda vez que </w:t>
      </w:r>
      <w:r w:rsidR="00A4266D" w:rsidRPr="00F87C8F">
        <w:rPr>
          <w:rFonts w:ascii="Arial" w:hAnsi="Arial" w:cs="Arial"/>
        </w:rPr>
        <w:t xml:space="preserve">se </w:t>
      </w:r>
      <w:r w:rsidR="002D33EA" w:rsidRPr="00F87C8F">
        <w:rPr>
          <w:rFonts w:ascii="Arial" w:hAnsi="Arial" w:cs="Arial"/>
        </w:rPr>
        <w:t>debió agotar el medio de impugnación intrapartidista y no acudir de manera directa ante este Tribunal Electoral, pues</w:t>
      </w:r>
      <w:r w:rsidR="002D33EA" w:rsidRPr="00F87C8F">
        <w:rPr>
          <w:rFonts w:ascii="Arial" w:hAnsi="Arial" w:cs="Arial"/>
          <w:lang w:val="es-ES_tradnl"/>
        </w:rPr>
        <w:t xml:space="preserve"> al hacerlo </w:t>
      </w:r>
      <w:r w:rsidR="00FD4F38" w:rsidRPr="00F87C8F">
        <w:rPr>
          <w:rFonts w:ascii="Arial" w:hAnsi="Arial" w:cs="Arial"/>
          <w:lang w:val="es-ES_tradnl"/>
        </w:rPr>
        <w:t xml:space="preserve">se transgrede </w:t>
      </w:r>
      <w:r w:rsidR="002D33EA" w:rsidRPr="00F87C8F">
        <w:rPr>
          <w:rFonts w:ascii="Arial" w:hAnsi="Arial" w:cs="Arial"/>
          <w:lang w:val="es-ES_tradnl"/>
        </w:rPr>
        <w:t>el principio de definitividad</w:t>
      </w:r>
      <w:r w:rsidR="002E403C" w:rsidRPr="00F87C8F">
        <w:rPr>
          <w:rStyle w:val="Refdenotaalpie"/>
          <w:rFonts w:ascii="Arial" w:hAnsi="Arial" w:cs="Arial"/>
          <w:lang w:val="es-ES_tradnl"/>
        </w:rPr>
        <w:footnoteReference w:id="7"/>
      </w:r>
      <w:r w:rsidR="002D33EA" w:rsidRPr="00F87C8F">
        <w:rPr>
          <w:rFonts w:ascii="Arial" w:hAnsi="Arial" w:cs="Arial"/>
          <w:lang w:val="es-ES_tradnl"/>
        </w:rPr>
        <w:t>, el cual es requisito de procedencia de los medios de impugnación, según lo establecen los artículos 82 y 83 de la ley de la materia</w:t>
      </w:r>
      <w:r w:rsidR="00A2236E" w:rsidRPr="00F87C8F">
        <w:rPr>
          <w:rFonts w:ascii="Arial" w:hAnsi="Arial" w:cs="Arial"/>
          <w:lang w:val="es-ES_tradnl"/>
        </w:rPr>
        <w:t>.</w:t>
      </w:r>
    </w:p>
    <w:p w:rsidR="00A4266D" w:rsidRPr="00F87C8F" w:rsidRDefault="00A4266D" w:rsidP="0025741E">
      <w:pPr>
        <w:pStyle w:val="NormalWeb"/>
        <w:tabs>
          <w:tab w:val="left" w:pos="284"/>
        </w:tabs>
        <w:spacing w:line="360" w:lineRule="auto"/>
        <w:ind w:right="49"/>
        <w:contextualSpacing/>
        <w:mirrorIndents/>
        <w:jc w:val="both"/>
        <w:rPr>
          <w:rFonts w:ascii="Arial" w:hAnsi="Arial" w:cs="Arial"/>
          <w:b/>
        </w:rPr>
      </w:pPr>
    </w:p>
    <w:p w:rsidR="00CC4A1E" w:rsidRPr="00F87C8F" w:rsidRDefault="00A4266D"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En efecto</w:t>
      </w:r>
      <w:r w:rsidR="00CC4A1E" w:rsidRPr="00F87C8F">
        <w:rPr>
          <w:rFonts w:ascii="Arial" w:hAnsi="Arial" w:cs="Arial"/>
        </w:rPr>
        <w:t xml:space="preserve">, se advierte que el </w:t>
      </w:r>
      <w:r w:rsidRPr="00F87C8F">
        <w:rPr>
          <w:rFonts w:ascii="Arial" w:hAnsi="Arial" w:cs="Arial"/>
        </w:rPr>
        <w:t xml:space="preserve">inconforme </w:t>
      </w:r>
      <w:r w:rsidR="00CC4A1E" w:rsidRPr="00F87C8F">
        <w:rPr>
          <w:rFonts w:ascii="Arial" w:hAnsi="Arial" w:cs="Arial"/>
        </w:rPr>
        <w:t xml:space="preserve">acude </w:t>
      </w:r>
      <w:r w:rsidR="00CC4A1E" w:rsidRPr="00F87C8F">
        <w:rPr>
          <w:rFonts w:ascii="Arial" w:hAnsi="Arial" w:cs="Arial"/>
          <w:lang w:val="es-ES_tradnl"/>
        </w:rPr>
        <w:t xml:space="preserve">en su carácter de </w:t>
      </w:r>
      <w:r w:rsidR="00FB074B" w:rsidRPr="00F87C8F">
        <w:rPr>
          <w:rFonts w:ascii="Arial" w:hAnsi="Arial" w:cs="Arial"/>
          <w:lang w:val="es-ES_tradnl"/>
        </w:rPr>
        <w:t>aspirante a una candidatura</w:t>
      </w:r>
      <w:r w:rsidR="00CC4A1E" w:rsidRPr="00F87C8F">
        <w:rPr>
          <w:rFonts w:ascii="Arial" w:hAnsi="Arial" w:cs="Arial"/>
          <w:lang w:val="es-ES_tradnl"/>
        </w:rPr>
        <w:t xml:space="preserve">, a impugnar el </w:t>
      </w:r>
      <w:r w:rsidR="00476516" w:rsidRPr="00F87C8F">
        <w:rPr>
          <w:rFonts w:ascii="Arial" w:hAnsi="Arial" w:cs="Arial"/>
          <w:lang w:val="es-ES_tradnl"/>
        </w:rPr>
        <w:t>D</w:t>
      </w:r>
      <w:r w:rsidR="00CC4A1E" w:rsidRPr="00F87C8F">
        <w:rPr>
          <w:rFonts w:ascii="Arial" w:hAnsi="Arial" w:cs="Arial"/>
          <w:lang w:val="es-ES_tradnl"/>
        </w:rPr>
        <w:t xml:space="preserve">ictamen de la </w:t>
      </w:r>
      <w:r w:rsidR="00476516" w:rsidRPr="00F87C8F">
        <w:rPr>
          <w:rFonts w:ascii="Arial" w:hAnsi="Arial" w:cs="Arial"/>
          <w:lang w:val="es-ES_tradnl"/>
        </w:rPr>
        <w:t>CNE, ya</w:t>
      </w:r>
      <w:r w:rsidR="00CC4A1E" w:rsidRPr="00F87C8F">
        <w:rPr>
          <w:rFonts w:ascii="Arial" w:hAnsi="Arial" w:cs="Arial"/>
          <w:lang w:val="es-ES_tradnl"/>
        </w:rPr>
        <w:t xml:space="preserve"> que considera que transgrede su derecho político-electoral de ser votado</w:t>
      </w:r>
      <w:r w:rsidR="00A9780A" w:rsidRPr="00F87C8F">
        <w:rPr>
          <w:rFonts w:ascii="Arial" w:hAnsi="Arial" w:cs="Arial"/>
          <w:lang w:val="es-ES_tradnl"/>
        </w:rPr>
        <w:t>.</w:t>
      </w:r>
    </w:p>
    <w:p w:rsidR="0083556F" w:rsidRPr="00F87C8F" w:rsidRDefault="00A4266D" w:rsidP="0025741E">
      <w:pPr>
        <w:spacing w:line="360" w:lineRule="auto"/>
        <w:ind w:right="49"/>
        <w:jc w:val="both"/>
        <w:rPr>
          <w:rFonts w:ascii="Arial" w:hAnsi="Arial" w:cs="Arial"/>
          <w:sz w:val="24"/>
          <w:szCs w:val="24"/>
        </w:rPr>
      </w:pPr>
      <w:r w:rsidRPr="00F87C8F">
        <w:rPr>
          <w:rFonts w:ascii="Arial" w:hAnsi="Arial" w:cs="Arial"/>
          <w:sz w:val="24"/>
          <w:szCs w:val="24"/>
        </w:rPr>
        <w:t xml:space="preserve">Así, </w:t>
      </w:r>
      <w:r w:rsidR="00B71BF7" w:rsidRPr="00F87C8F">
        <w:rPr>
          <w:rFonts w:ascii="Arial" w:hAnsi="Arial" w:cs="Arial"/>
          <w:sz w:val="24"/>
          <w:szCs w:val="24"/>
        </w:rPr>
        <w:t>este</w:t>
      </w:r>
      <w:r w:rsidR="00DD0AB4" w:rsidRPr="00F87C8F">
        <w:rPr>
          <w:rFonts w:ascii="Arial" w:hAnsi="Arial" w:cs="Arial"/>
          <w:sz w:val="24"/>
          <w:szCs w:val="24"/>
        </w:rPr>
        <w:t xml:space="preserve"> Tribunal </w:t>
      </w:r>
      <w:r w:rsidR="00A5769E" w:rsidRPr="00F87C8F">
        <w:rPr>
          <w:rFonts w:ascii="Arial" w:hAnsi="Arial" w:cs="Arial"/>
          <w:sz w:val="24"/>
          <w:szCs w:val="24"/>
        </w:rPr>
        <w:t>determina</w:t>
      </w:r>
      <w:r w:rsidR="00DD0AB4" w:rsidRPr="00F87C8F">
        <w:rPr>
          <w:rFonts w:ascii="Arial" w:hAnsi="Arial" w:cs="Arial"/>
          <w:sz w:val="24"/>
          <w:szCs w:val="24"/>
        </w:rPr>
        <w:t xml:space="preserve"> que las razones expuestas por </w:t>
      </w:r>
      <w:r w:rsidRPr="00F87C8F">
        <w:rPr>
          <w:rFonts w:ascii="Arial" w:hAnsi="Arial" w:cs="Arial"/>
          <w:sz w:val="24"/>
          <w:szCs w:val="24"/>
        </w:rPr>
        <w:t xml:space="preserve">su parte </w:t>
      </w:r>
      <w:r w:rsidR="00DD0AB4" w:rsidRPr="00F87C8F">
        <w:rPr>
          <w:rFonts w:ascii="Arial" w:hAnsi="Arial" w:cs="Arial"/>
          <w:sz w:val="24"/>
          <w:szCs w:val="24"/>
        </w:rPr>
        <w:t xml:space="preserve">son insuficientes para justificar el conocimiento </w:t>
      </w:r>
      <w:r w:rsidR="00DD0AB4" w:rsidRPr="00F87C8F">
        <w:rPr>
          <w:rFonts w:ascii="Arial" w:hAnsi="Arial" w:cs="Arial"/>
          <w:i/>
          <w:sz w:val="24"/>
          <w:szCs w:val="24"/>
        </w:rPr>
        <w:t xml:space="preserve">per </w:t>
      </w:r>
      <w:proofErr w:type="spellStart"/>
      <w:r w:rsidR="00DD0AB4" w:rsidRPr="00F87C8F">
        <w:rPr>
          <w:rFonts w:ascii="Arial" w:hAnsi="Arial" w:cs="Arial"/>
          <w:i/>
          <w:sz w:val="24"/>
          <w:szCs w:val="24"/>
        </w:rPr>
        <w:t>saltum</w:t>
      </w:r>
      <w:proofErr w:type="spellEnd"/>
      <w:r w:rsidR="00DD0AB4" w:rsidRPr="00F87C8F">
        <w:rPr>
          <w:rFonts w:ascii="Arial" w:hAnsi="Arial" w:cs="Arial"/>
          <w:sz w:val="24"/>
          <w:szCs w:val="24"/>
        </w:rPr>
        <w:t xml:space="preserve"> de su impugnación, </w:t>
      </w:r>
      <w:r w:rsidR="00A5769E" w:rsidRPr="00F87C8F">
        <w:rPr>
          <w:rFonts w:ascii="Arial" w:hAnsi="Arial" w:cs="Arial"/>
          <w:sz w:val="24"/>
          <w:szCs w:val="24"/>
        </w:rPr>
        <w:lastRenderedPageBreak/>
        <w:t>debido a que existe</w:t>
      </w:r>
      <w:r w:rsidR="00DD0AB4" w:rsidRPr="00F87C8F">
        <w:rPr>
          <w:rFonts w:ascii="Arial" w:hAnsi="Arial" w:cs="Arial"/>
          <w:sz w:val="24"/>
          <w:szCs w:val="24"/>
        </w:rPr>
        <w:t xml:space="preserve"> un medio idóneo y eficaz al interior del partido político para garantizar el derecho que el </w:t>
      </w:r>
      <w:r w:rsidR="00A5769E" w:rsidRPr="00F87C8F">
        <w:rPr>
          <w:rFonts w:ascii="Arial" w:hAnsi="Arial" w:cs="Arial"/>
          <w:sz w:val="24"/>
          <w:szCs w:val="24"/>
        </w:rPr>
        <w:t xml:space="preserve">promovente considera </w:t>
      </w:r>
      <w:r w:rsidR="00DD0AB4" w:rsidRPr="00F87C8F">
        <w:rPr>
          <w:rFonts w:ascii="Arial" w:hAnsi="Arial" w:cs="Arial"/>
          <w:sz w:val="24"/>
          <w:szCs w:val="24"/>
        </w:rPr>
        <w:t>conculcado y su agotamiento no produce una merma considerable o la extinción de su pretensión.</w:t>
      </w:r>
    </w:p>
    <w:p w:rsidR="00E42D9E" w:rsidRPr="00E42D9E" w:rsidRDefault="00E42D9E" w:rsidP="0025741E">
      <w:pPr>
        <w:spacing w:line="360" w:lineRule="auto"/>
        <w:ind w:right="49"/>
        <w:jc w:val="both"/>
        <w:rPr>
          <w:rFonts w:ascii="Arial" w:hAnsi="Arial" w:cs="Arial"/>
          <w:sz w:val="24"/>
          <w:szCs w:val="24"/>
        </w:rPr>
      </w:pPr>
      <w:r w:rsidRPr="00E42D9E">
        <w:rPr>
          <w:rFonts w:ascii="Arial" w:hAnsi="Arial" w:cs="Arial"/>
          <w:sz w:val="24"/>
          <w:szCs w:val="24"/>
        </w:rPr>
        <w:t xml:space="preserve">La exigencia de agotar las instancias previas tiene como presupuesto que éstas sean idóneas, aptas, suficientes y eficaces para alcanzar las pretensiones de los justiciables de modificar, revocar o anular los actos controvertidos. </w:t>
      </w:r>
    </w:p>
    <w:p w:rsidR="00E42D9E" w:rsidRPr="00E42D9E" w:rsidRDefault="00E42D9E" w:rsidP="0025741E">
      <w:pPr>
        <w:spacing w:line="360" w:lineRule="auto"/>
        <w:ind w:right="49"/>
        <w:jc w:val="both"/>
        <w:rPr>
          <w:rFonts w:ascii="Arial" w:hAnsi="Arial" w:cs="Arial"/>
          <w:sz w:val="24"/>
          <w:szCs w:val="24"/>
        </w:rPr>
      </w:pPr>
      <w:r w:rsidRPr="00E42D9E">
        <w:rPr>
          <w:rFonts w:ascii="Arial" w:hAnsi="Arial" w:cs="Arial"/>
          <w:sz w:val="24"/>
          <w:szCs w:val="24"/>
        </w:rPr>
        <w:t xml:space="preserve">De tal manera que únicamente de esta </w:t>
      </w:r>
      <w:r w:rsidR="006B7E7A">
        <w:rPr>
          <w:rFonts w:ascii="Arial" w:hAnsi="Arial" w:cs="Arial"/>
          <w:sz w:val="24"/>
          <w:szCs w:val="24"/>
        </w:rPr>
        <w:t>form</w:t>
      </w:r>
      <w:r w:rsidRPr="00E42D9E">
        <w:rPr>
          <w:rFonts w:ascii="Arial" w:hAnsi="Arial" w:cs="Arial"/>
          <w:sz w:val="24"/>
          <w:szCs w:val="24"/>
        </w:rPr>
        <w:t xml:space="preserve">a se da cumplimiento a la máxima constitucional de justicia pronta, completa y expedita, además de respetar la cadena impugnativa en tanto que, para estar en aptitud de acudir a un órgano de jurisdicción excepcional y extraordinario, los interesados deben acudir previamente a medios de defensa </w:t>
      </w:r>
      <w:proofErr w:type="spellStart"/>
      <w:r w:rsidRPr="00E42D9E">
        <w:rPr>
          <w:rFonts w:ascii="Arial" w:hAnsi="Arial" w:cs="Arial"/>
          <w:sz w:val="24"/>
          <w:szCs w:val="24"/>
        </w:rPr>
        <w:t>intrapartidistas</w:t>
      </w:r>
      <w:proofErr w:type="spellEnd"/>
      <w:r w:rsidRPr="00E42D9E">
        <w:rPr>
          <w:rFonts w:ascii="Arial" w:hAnsi="Arial" w:cs="Arial"/>
          <w:sz w:val="24"/>
          <w:szCs w:val="24"/>
        </w:rPr>
        <w:t>.</w:t>
      </w:r>
    </w:p>
    <w:p w:rsidR="00E42D9E" w:rsidRPr="00E42D9E" w:rsidRDefault="00E42D9E" w:rsidP="0025741E">
      <w:pPr>
        <w:spacing w:line="360" w:lineRule="auto"/>
        <w:ind w:right="49"/>
        <w:jc w:val="both"/>
        <w:rPr>
          <w:rFonts w:ascii="Arial" w:hAnsi="Arial" w:cs="Arial"/>
          <w:sz w:val="24"/>
          <w:szCs w:val="24"/>
        </w:rPr>
      </w:pPr>
      <w:r w:rsidRPr="00E42D9E">
        <w:rPr>
          <w:rFonts w:ascii="Arial" w:hAnsi="Arial" w:cs="Arial"/>
          <w:sz w:val="24"/>
          <w:szCs w:val="24"/>
        </w:rPr>
        <w:t xml:space="preserve">Es por ello que sólo se tiene por colmado dicho requisito, cuando el agotamiento previo de los medios de impugnación se traduzca en una amenaza seria para los derechos sustanciales que son objeto del litigio, al advertirse que los trámites de que consten y el tiempo necesario para llevarlos a cabo, puedan implicar la merma considerable o hasta la extinción del contenido de las pretensiones, efectos y consecuencias. Esto sucede cuando el tiempo de tramitación y resolución de la impugnación partidista o legal, implique una merma considerable o la extinción de las pretensiones, efectos o consecuencias pedidas. </w:t>
      </w:r>
    </w:p>
    <w:p w:rsidR="00D148D2" w:rsidRDefault="00E42D9E" w:rsidP="0025741E">
      <w:pPr>
        <w:spacing w:line="360" w:lineRule="auto"/>
        <w:ind w:right="49"/>
        <w:jc w:val="both"/>
        <w:rPr>
          <w:rFonts w:ascii="Arial" w:hAnsi="Arial" w:cs="Arial"/>
          <w:sz w:val="24"/>
          <w:szCs w:val="24"/>
        </w:rPr>
      </w:pPr>
      <w:r w:rsidRPr="00E42D9E">
        <w:rPr>
          <w:rFonts w:ascii="Arial" w:hAnsi="Arial" w:cs="Arial"/>
          <w:sz w:val="24"/>
          <w:szCs w:val="24"/>
        </w:rPr>
        <w:t xml:space="preserve">De tal manera que, por regla general, los ciudadanos que presentan una demanda deben agotar las instancias legales o partidistas previas al juicio ciudadano constitucional, por lo que el conocimiento directo y excepcional, </w:t>
      </w:r>
      <w:r w:rsidRPr="00AD3461">
        <w:rPr>
          <w:rFonts w:ascii="Arial" w:hAnsi="Arial" w:cs="Arial"/>
          <w:i/>
          <w:sz w:val="24"/>
          <w:szCs w:val="24"/>
        </w:rPr>
        <w:t xml:space="preserve">per </w:t>
      </w:r>
      <w:proofErr w:type="spellStart"/>
      <w:r w:rsidRPr="00AD3461">
        <w:rPr>
          <w:rFonts w:ascii="Arial" w:hAnsi="Arial" w:cs="Arial"/>
          <w:i/>
          <w:sz w:val="24"/>
          <w:szCs w:val="24"/>
        </w:rPr>
        <w:t>saltum</w:t>
      </w:r>
      <w:proofErr w:type="spellEnd"/>
      <w:r w:rsidRPr="00E42D9E">
        <w:rPr>
          <w:rFonts w:ascii="Arial" w:hAnsi="Arial" w:cs="Arial"/>
          <w:sz w:val="24"/>
          <w:szCs w:val="24"/>
        </w:rPr>
        <w:t>, debe estar justificado.</w:t>
      </w:r>
    </w:p>
    <w:p w:rsidR="00E42D9E" w:rsidRPr="00E42D9E" w:rsidRDefault="00E42D9E" w:rsidP="0025741E">
      <w:pPr>
        <w:spacing w:line="360" w:lineRule="auto"/>
        <w:ind w:right="49"/>
        <w:jc w:val="both"/>
        <w:rPr>
          <w:rFonts w:ascii="Arial" w:hAnsi="Arial" w:cs="Arial"/>
          <w:sz w:val="24"/>
          <w:szCs w:val="24"/>
        </w:rPr>
      </w:pPr>
      <w:r w:rsidRPr="00E42D9E">
        <w:rPr>
          <w:rFonts w:ascii="Arial" w:hAnsi="Arial" w:cs="Arial"/>
          <w:sz w:val="24"/>
          <w:szCs w:val="24"/>
        </w:rPr>
        <w:t xml:space="preserve">En el caso concreto, no se colma el requisito de definitividad, debido a que el actor no agotó previamente la instancia intrapartidista establecida en la normativa estatutaria, en tanto que, tampoco procede la hipótesis de excepción reconocida como </w:t>
      </w:r>
      <w:r w:rsidRPr="00AD3461">
        <w:rPr>
          <w:rFonts w:ascii="Arial" w:hAnsi="Arial" w:cs="Arial"/>
          <w:i/>
          <w:sz w:val="24"/>
          <w:szCs w:val="24"/>
        </w:rPr>
        <w:t xml:space="preserve">per </w:t>
      </w:r>
      <w:proofErr w:type="spellStart"/>
      <w:r w:rsidRPr="00AD3461">
        <w:rPr>
          <w:rFonts w:ascii="Arial" w:hAnsi="Arial" w:cs="Arial"/>
          <w:i/>
          <w:sz w:val="24"/>
          <w:szCs w:val="24"/>
        </w:rPr>
        <w:t>saltum</w:t>
      </w:r>
      <w:proofErr w:type="spellEnd"/>
      <w:r w:rsidRPr="00AD3461">
        <w:rPr>
          <w:rFonts w:ascii="Arial" w:hAnsi="Arial" w:cs="Arial"/>
          <w:i/>
          <w:sz w:val="24"/>
          <w:szCs w:val="24"/>
        </w:rPr>
        <w:t>.</w:t>
      </w:r>
      <w:r w:rsidRPr="00E42D9E">
        <w:rPr>
          <w:rFonts w:ascii="Arial" w:hAnsi="Arial" w:cs="Arial"/>
          <w:sz w:val="24"/>
          <w:szCs w:val="24"/>
        </w:rPr>
        <w:t xml:space="preserve"> Esto es así, porque de la normativa partidista se advierte que existe un recurso intrapartidista para controvertir el </w:t>
      </w:r>
      <w:r w:rsidRPr="00E42D9E">
        <w:rPr>
          <w:rFonts w:ascii="Arial" w:hAnsi="Arial" w:cs="Arial"/>
          <w:sz w:val="24"/>
          <w:szCs w:val="24"/>
        </w:rPr>
        <w:lastRenderedPageBreak/>
        <w:t xml:space="preserve">acuerdo señalado por </w:t>
      </w:r>
      <w:r w:rsidR="006D213C">
        <w:rPr>
          <w:rFonts w:ascii="Arial" w:hAnsi="Arial" w:cs="Arial"/>
          <w:sz w:val="24"/>
          <w:szCs w:val="24"/>
        </w:rPr>
        <w:t>el</w:t>
      </w:r>
      <w:r w:rsidRPr="00E42D9E">
        <w:rPr>
          <w:rFonts w:ascii="Arial" w:hAnsi="Arial" w:cs="Arial"/>
          <w:sz w:val="24"/>
          <w:szCs w:val="24"/>
        </w:rPr>
        <w:t xml:space="preserve"> promovente, el cual es de la competencia de la CNHJ</w:t>
      </w:r>
      <w:r w:rsidR="00702D23" w:rsidRPr="00F87C8F">
        <w:rPr>
          <w:rStyle w:val="Refdenotaalpie"/>
          <w:rFonts w:ascii="Arial" w:hAnsi="Arial" w:cs="Arial"/>
          <w:sz w:val="24"/>
          <w:szCs w:val="24"/>
        </w:rPr>
        <w:footnoteReference w:id="8"/>
      </w:r>
      <w:r w:rsidRPr="00E42D9E">
        <w:rPr>
          <w:rFonts w:ascii="Arial" w:hAnsi="Arial" w:cs="Arial"/>
          <w:sz w:val="24"/>
          <w:szCs w:val="24"/>
        </w:rPr>
        <w:t>.</w:t>
      </w:r>
    </w:p>
    <w:p w:rsidR="00E42D9E" w:rsidRPr="00E42D9E" w:rsidRDefault="00E42D9E" w:rsidP="0025741E">
      <w:pPr>
        <w:spacing w:line="360" w:lineRule="auto"/>
        <w:ind w:right="49"/>
        <w:jc w:val="both"/>
        <w:rPr>
          <w:rFonts w:ascii="Arial" w:hAnsi="Arial" w:cs="Arial"/>
          <w:sz w:val="24"/>
          <w:szCs w:val="24"/>
        </w:rPr>
      </w:pPr>
      <w:r w:rsidRPr="00E42D9E">
        <w:rPr>
          <w:rFonts w:ascii="Arial" w:hAnsi="Arial" w:cs="Arial"/>
          <w:sz w:val="24"/>
          <w:szCs w:val="24"/>
        </w:rPr>
        <w:t>En tal sentido, aun cuando transcurriera el plazo para recibir las solicitudes por parte de la autoridad electoral, esto no le generaría un perjuicio a la pretensión de</w:t>
      </w:r>
      <w:r w:rsidR="00F342D9">
        <w:rPr>
          <w:rFonts w:ascii="Arial" w:hAnsi="Arial" w:cs="Arial"/>
          <w:sz w:val="24"/>
          <w:szCs w:val="24"/>
        </w:rPr>
        <w:t>l</w:t>
      </w:r>
      <w:r w:rsidRPr="00E42D9E">
        <w:rPr>
          <w:rFonts w:ascii="Arial" w:hAnsi="Arial" w:cs="Arial"/>
          <w:sz w:val="24"/>
          <w:szCs w:val="24"/>
        </w:rPr>
        <w:t xml:space="preserve"> promovente, pues obtendría mediante resolución de órganos internos de MORENA, determinación que podría ser favorable antes de iniciada la etapa de campañas, que en este caso es el quince de abril, o bien, de no obtener una sentencia favorable, podría acudir a este órgano de justicia o a la Sala Regional competente.</w:t>
      </w:r>
    </w:p>
    <w:p w:rsidR="00E42D9E" w:rsidRDefault="00E42D9E" w:rsidP="0025741E">
      <w:pPr>
        <w:spacing w:line="360" w:lineRule="auto"/>
        <w:ind w:right="49"/>
        <w:jc w:val="both"/>
        <w:rPr>
          <w:rFonts w:ascii="Arial" w:hAnsi="Arial" w:cs="Arial"/>
          <w:sz w:val="24"/>
          <w:szCs w:val="24"/>
        </w:rPr>
      </w:pPr>
      <w:r w:rsidRPr="00E42D9E">
        <w:rPr>
          <w:rFonts w:ascii="Arial" w:hAnsi="Arial" w:cs="Arial"/>
          <w:sz w:val="24"/>
          <w:szCs w:val="24"/>
        </w:rPr>
        <w:t>Lo anterior, al considerar que existe tiempo suficiente para que la controversia sea resulta por el órgano partidista, cumpliendo con el principio de definitividad, requisito indispensable para la procedencia del presente juicio, y en caso de obtener una resolución intrapartidista contraria a lo esperado, esté en posibilidad de acudir ante este Tribunal o bien ante la Sala Regional correspondiente, dependiendo de los plazos en que se resuelva la controversia interna.</w:t>
      </w:r>
    </w:p>
    <w:p w:rsidR="0083556F" w:rsidRPr="00F87C8F" w:rsidRDefault="002D33EA" w:rsidP="0025741E">
      <w:pPr>
        <w:spacing w:line="360" w:lineRule="auto"/>
        <w:ind w:right="49"/>
        <w:jc w:val="both"/>
        <w:rPr>
          <w:rFonts w:ascii="Arial" w:hAnsi="Arial" w:cs="Arial"/>
          <w:sz w:val="24"/>
          <w:szCs w:val="24"/>
          <w:lang w:val="es-ES_tradnl"/>
        </w:rPr>
      </w:pPr>
      <w:r w:rsidRPr="00F87C8F">
        <w:rPr>
          <w:rFonts w:ascii="Arial" w:hAnsi="Arial" w:cs="Arial"/>
          <w:sz w:val="24"/>
          <w:szCs w:val="24"/>
          <w:lang w:val="es-ES_tradnl"/>
        </w:rPr>
        <w:t xml:space="preserve">Incluso, de acuerdo con lo previsto en el artículo 47, párrafo 2, de la Ley General de Partidos Políticos, todas las controversias sobre asuntos internos de los partidos se resolverán por los órganos de justicia </w:t>
      </w:r>
      <w:proofErr w:type="spellStart"/>
      <w:r w:rsidRPr="00F87C8F">
        <w:rPr>
          <w:rFonts w:ascii="Arial" w:hAnsi="Arial" w:cs="Arial"/>
          <w:sz w:val="24"/>
          <w:szCs w:val="24"/>
          <w:lang w:val="es-ES_tradnl"/>
        </w:rPr>
        <w:t>intrapartidaria</w:t>
      </w:r>
      <w:proofErr w:type="spellEnd"/>
      <w:r w:rsidRPr="00F87C8F">
        <w:rPr>
          <w:rFonts w:ascii="Arial" w:hAnsi="Arial" w:cs="Arial"/>
          <w:sz w:val="24"/>
          <w:szCs w:val="24"/>
          <w:lang w:val="es-ES_tradnl"/>
        </w:rPr>
        <w:t>, en tiempo, a fin de garantizar los derechos de su militancia</w:t>
      </w:r>
      <w:r w:rsidR="001D1548" w:rsidRPr="00F87C8F">
        <w:rPr>
          <w:rFonts w:ascii="Arial" w:hAnsi="Arial" w:cs="Arial"/>
          <w:sz w:val="24"/>
          <w:szCs w:val="24"/>
          <w:lang w:val="es-ES_tradnl"/>
        </w:rPr>
        <w:t>, así como de los ciudadanos que participan como aspirantes, atendiendo la bases de la convocatoria</w:t>
      </w:r>
      <w:r w:rsidRPr="00F87C8F">
        <w:rPr>
          <w:rFonts w:ascii="Arial" w:hAnsi="Arial" w:cs="Arial"/>
          <w:sz w:val="24"/>
          <w:szCs w:val="24"/>
          <w:lang w:val="es-ES_tradnl"/>
        </w:rPr>
        <w:t xml:space="preserve"> y, una vez que se agoten, podrán acudir ante un órgano de justicia, en su caso, al Tribunal Electoral de la entidad federativa y, posteriormente, ante la instancia federal.</w:t>
      </w:r>
    </w:p>
    <w:p w:rsidR="00A9780A" w:rsidRPr="00F87C8F" w:rsidRDefault="007A19FA" w:rsidP="0025741E">
      <w:pPr>
        <w:spacing w:line="360" w:lineRule="auto"/>
        <w:ind w:right="49"/>
        <w:jc w:val="both"/>
        <w:rPr>
          <w:rFonts w:ascii="Arial" w:hAnsi="Arial" w:cs="Arial"/>
          <w:sz w:val="24"/>
          <w:szCs w:val="24"/>
        </w:rPr>
      </w:pPr>
      <w:r w:rsidRPr="00F87C8F">
        <w:rPr>
          <w:rFonts w:ascii="Arial" w:hAnsi="Arial" w:cs="Arial"/>
          <w:sz w:val="24"/>
          <w:szCs w:val="24"/>
        </w:rPr>
        <w:t xml:space="preserve">Entonces, al existir tanto la autoridad, como el medio de impugnación </w:t>
      </w:r>
      <w:proofErr w:type="spellStart"/>
      <w:r w:rsidRPr="00F87C8F">
        <w:rPr>
          <w:rFonts w:ascii="Arial" w:hAnsi="Arial" w:cs="Arial"/>
          <w:sz w:val="24"/>
          <w:szCs w:val="24"/>
        </w:rPr>
        <w:t>intrapartidario</w:t>
      </w:r>
      <w:proofErr w:type="spellEnd"/>
      <w:r w:rsidRPr="00F87C8F">
        <w:rPr>
          <w:rFonts w:ascii="Arial" w:hAnsi="Arial" w:cs="Arial"/>
          <w:sz w:val="24"/>
          <w:szCs w:val="24"/>
        </w:rPr>
        <w:t xml:space="preserve"> previsto en </w:t>
      </w:r>
      <w:r w:rsidR="004A1BD2" w:rsidRPr="00F87C8F">
        <w:rPr>
          <w:rFonts w:ascii="Arial" w:hAnsi="Arial" w:cs="Arial"/>
          <w:sz w:val="24"/>
          <w:szCs w:val="24"/>
        </w:rPr>
        <w:t>el</w:t>
      </w:r>
      <w:r w:rsidRPr="00F87C8F">
        <w:rPr>
          <w:rFonts w:ascii="Arial" w:hAnsi="Arial" w:cs="Arial"/>
          <w:sz w:val="24"/>
          <w:szCs w:val="24"/>
        </w:rPr>
        <w:t xml:space="preserve"> Estatuto, es innegable, que en la especi</w:t>
      </w:r>
      <w:r w:rsidR="00761AE0" w:rsidRPr="00F87C8F">
        <w:rPr>
          <w:rFonts w:ascii="Arial" w:hAnsi="Arial" w:cs="Arial"/>
          <w:sz w:val="24"/>
          <w:szCs w:val="24"/>
        </w:rPr>
        <w:t>e se</w:t>
      </w:r>
      <w:r w:rsidRPr="00F87C8F">
        <w:rPr>
          <w:rFonts w:ascii="Arial" w:hAnsi="Arial" w:cs="Arial"/>
          <w:sz w:val="24"/>
          <w:szCs w:val="24"/>
        </w:rPr>
        <w:t xml:space="preserve"> surte la causal de improcedencia prevista en el artículo 304, fracción II, inciso e), del Código Electoral, que dispone que son improcedentes los medios de impugnación en los que no se agote previamente el principio de definitividad.</w:t>
      </w:r>
    </w:p>
    <w:p w:rsidR="00A9780A" w:rsidRPr="00F87C8F" w:rsidRDefault="007A19FA" w:rsidP="0025741E">
      <w:pPr>
        <w:spacing w:line="360" w:lineRule="auto"/>
        <w:ind w:right="49"/>
        <w:jc w:val="both"/>
        <w:rPr>
          <w:rFonts w:ascii="Arial" w:hAnsi="Arial" w:cs="Arial"/>
          <w:sz w:val="24"/>
          <w:szCs w:val="24"/>
        </w:rPr>
      </w:pPr>
      <w:r w:rsidRPr="00F87C8F">
        <w:rPr>
          <w:rFonts w:ascii="Arial" w:hAnsi="Arial" w:cs="Arial"/>
          <w:sz w:val="24"/>
          <w:szCs w:val="24"/>
        </w:rPr>
        <w:t xml:space="preserve">Lo anterior encuentra apoyo en lo dispuesto en la </w:t>
      </w:r>
      <w:r w:rsidRPr="00F87C8F">
        <w:rPr>
          <w:rFonts w:ascii="Arial" w:hAnsi="Arial" w:cs="Arial"/>
          <w:b/>
          <w:sz w:val="24"/>
          <w:szCs w:val="24"/>
        </w:rPr>
        <w:t>Jurisprudencia 5/2005</w:t>
      </w:r>
      <w:r w:rsidRPr="00F87C8F">
        <w:rPr>
          <w:rFonts w:ascii="Arial" w:hAnsi="Arial" w:cs="Arial"/>
          <w:sz w:val="24"/>
          <w:szCs w:val="24"/>
        </w:rPr>
        <w:t xml:space="preserve">, de rubro: </w:t>
      </w:r>
      <w:r w:rsidRPr="00F87C8F">
        <w:rPr>
          <w:rFonts w:ascii="Arial" w:hAnsi="Arial" w:cs="Arial"/>
          <w:b/>
          <w:sz w:val="24"/>
          <w:szCs w:val="24"/>
        </w:rPr>
        <w:t xml:space="preserve">“MEDIO DE IMPUGNACIÓN INTRAPARTIDARIO. DEBE AGOTARSE ANTES DE ACUDIR A LA INSTANCIA JURISDICCIONAL, AUN CUANDO </w:t>
      </w:r>
      <w:r w:rsidRPr="00F87C8F">
        <w:rPr>
          <w:rFonts w:ascii="Arial" w:hAnsi="Arial" w:cs="Arial"/>
          <w:b/>
          <w:sz w:val="24"/>
          <w:szCs w:val="24"/>
        </w:rPr>
        <w:lastRenderedPageBreak/>
        <w:t>EL PLAZO PARA SU RESOLUCIÓN NO ESTÉ PREVISTO EN LA REGLAMENTACIÓN DEL PARTIDO POLÍTICO.</w:t>
      </w:r>
      <w:r w:rsidRPr="00F87C8F">
        <w:rPr>
          <w:rFonts w:ascii="Arial" w:hAnsi="Arial" w:cs="Arial"/>
          <w:sz w:val="24"/>
          <w:szCs w:val="24"/>
        </w:rPr>
        <w:t>"</w:t>
      </w:r>
      <w:r w:rsidRPr="00F87C8F">
        <w:rPr>
          <w:rStyle w:val="Refdenotaalpie"/>
          <w:rFonts w:ascii="Arial" w:hAnsi="Arial" w:cs="Arial"/>
          <w:sz w:val="24"/>
          <w:szCs w:val="24"/>
        </w:rPr>
        <w:footnoteReference w:id="9"/>
      </w:r>
    </w:p>
    <w:p w:rsidR="00761AE0" w:rsidRPr="00F87C8F" w:rsidRDefault="00761AE0" w:rsidP="0025741E">
      <w:pPr>
        <w:pStyle w:val="Prrafodelista"/>
        <w:numPr>
          <w:ilvl w:val="0"/>
          <w:numId w:val="7"/>
        </w:numPr>
        <w:tabs>
          <w:tab w:val="left" w:pos="284"/>
        </w:tabs>
        <w:spacing w:line="360" w:lineRule="auto"/>
        <w:ind w:left="0" w:right="49" w:firstLine="0"/>
        <w:jc w:val="both"/>
        <w:rPr>
          <w:rFonts w:ascii="Arial" w:hAnsi="Arial" w:cs="Arial"/>
          <w:sz w:val="24"/>
          <w:szCs w:val="24"/>
        </w:rPr>
      </w:pPr>
      <w:r w:rsidRPr="00F87C8F">
        <w:rPr>
          <w:rFonts w:ascii="Arial" w:hAnsi="Arial" w:cs="Arial"/>
          <w:b/>
          <w:sz w:val="24"/>
          <w:szCs w:val="24"/>
        </w:rPr>
        <w:t>REENCAU</w:t>
      </w:r>
      <w:r w:rsidR="0083556F" w:rsidRPr="00F87C8F">
        <w:rPr>
          <w:rFonts w:ascii="Arial" w:hAnsi="Arial" w:cs="Arial"/>
          <w:b/>
          <w:sz w:val="24"/>
          <w:szCs w:val="24"/>
        </w:rPr>
        <w:t>Z</w:t>
      </w:r>
      <w:r w:rsidRPr="00F87C8F">
        <w:rPr>
          <w:rFonts w:ascii="Arial" w:hAnsi="Arial" w:cs="Arial"/>
          <w:b/>
          <w:sz w:val="24"/>
          <w:szCs w:val="24"/>
        </w:rPr>
        <w:t xml:space="preserve">AMIENTO. </w:t>
      </w:r>
      <w:r w:rsidR="009B0927" w:rsidRPr="00F87C8F">
        <w:rPr>
          <w:rFonts w:ascii="Arial" w:hAnsi="Arial" w:cs="Arial"/>
          <w:sz w:val="24"/>
          <w:szCs w:val="24"/>
        </w:rPr>
        <w:t>El presente asunto, se encuentra en la misma hipótesis</w:t>
      </w:r>
      <w:r w:rsidR="00AA581E" w:rsidRPr="00F87C8F">
        <w:rPr>
          <w:rFonts w:ascii="Arial" w:hAnsi="Arial" w:cs="Arial"/>
          <w:sz w:val="24"/>
          <w:szCs w:val="24"/>
        </w:rPr>
        <w:t xml:space="preserve">, </w:t>
      </w:r>
      <w:r w:rsidR="00D81050" w:rsidRPr="00F87C8F">
        <w:rPr>
          <w:rFonts w:ascii="Arial" w:hAnsi="Arial" w:cs="Arial"/>
          <w:sz w:val="24"/>
          <w:szCs w:val="24"/>
        </w:rPr>
        <w:t>solucionada</w:t>
      </w:r>
      <w:r w:rsidR="009767D1" w:rsidRPr="00F87C8F">
        <w:rPr>
          <w:rFonts w:ascii="Arial" w:hAnsi="Arial" w:cs="Arial"/>
          <w:sz w:val="24"/>
          <w:szCs w:val="24"/>
        </w:rPr>
        <w:t xml:space="preserve"> </w:t>
      </w:r>
      <w:r w:rsidR="00AA581E" w:rsidRPr="00F87C8F">
        <w:rPr>
          <w:rFonts w:ascii="Arial" w:hAnsi="Arial" w:cs="Arial"/>
          <w:sz w:val="24"/>
          <w:szCs w:val="24"/>
        </w:rPr>
        <w:t xml:space="preserve">por este Tribunal, </w:t>
      </w:r>
      <w:r w:rsidR="004A1BD2" w:rsidRPr="00F87C8F">
        <w:rPr>
          <w:rFonts w:ascii="Arial" w:hAnsi="Arial" w:cs="Arial"/>
          <w:sz w:val="24"/>
          <w:szCs w:val="24"/>
        </w:rPr>
        <w:t>en los expedientes TEEA-JDC-012/2019, TEEA-JDC-013/2019 y TEEA-JDC-015/2019</w:t>
      </w:r>
      <w:r w:rsidR="00D81050" w:rsidRPr="00F87C8F">
        <w:rPr>
          <w:rFonts w:ascii="Arial" w:hAnsi="Arial" w:cs="Arial"/>
          <w:sz w:val="24"/>
          <w:szCs w:val="24"/>
        </w:rPr>
        <w:t>, en los que emitió a</w:t>
      </w:r>
      <w:r w:rsidR="009767D1" w:rsidRPr="00F87C8F">
        <w:rPr>
          <w:rFonts w:ascii="Arial" w:hAnsi="Arial" w:cs="Arial"/>
          <w:sz w:val="24"/>
          <w:szCs w:val="24"/>
        </w:rPr>
        <w:t>cuerdos de rencauzamiento</w:t>
      </w:r>
      <w:r w:rsidR="00D81050" w:rsidRPr="00F87C8F">
        <w:rPr>
          <w:rFonts w:ascii="Arial" w:hAnsi="Arial" w:cs="Arial"/>
          <w:sz w:val="24"/>
          <w:szCs w:val="24"/>
        </w:rPr>
        <w:t xml:space="preserve"> de las demandas a la </w:t>
      </w:r>
      <w:r w:rsidRPr="00F87C8F">
        <w:rPr>
          <w:rFonts w:ascii="Arial" w:hAnsi="Arial" w:cs="Arial"/>
          <w:sz w:val="24"/>
          <w:szCs w:val="24"/>
        </w:rPr>
        <w:t>instancia intrapartidista</w:t>
      </w:r>
      <w:r w:rsidR="004A1BD2" w:rsidRPr="00F87C8F">
        <w:rPr>
          <w:rFonts w:ascii="Arial" w:hAnsi="Arial" w:cs="Arial"/>
          <w:sz w:val="24"/>
          <w:szCs w:val="24"/>
        </w:rPr>
        <w:t xml:space="preserve">, tal y como al efecto </w:t>
      </w:r>
      <w:r w:rsidR="00D81050" w:rsidRPr="00F87C8F">
        <w:rPr>
          <w:rFonts w:ascii="Arial" w:hAnsi="Arial" w:cs="Arial"/>
          <w:sz w:val="24"/>
          <w:szCs w:val="24"/>
        </w:rPr>
        <w:t xml:space="preserve">también </w:t>
      </w:r>
      <w:r w:rsidR="004A1BD2" w:rsidRPr="00F87C8F">
        <w:rPr>
          <w:rFonts w:ascii="Arial" w:hAnsi="Arial" w:cs="Arial"/>
          <w:sz w:val="24"/>
          <w:szCs w:val="24"/>
        </w:rPr>
        <w:t xml:space="preserve">lo </w:t>
      </w:r>
      <w:r w:rsidR="00D81050" w:rsidRPr="00F87C8F">
        <w:rPr>
          <w:rFonts w:ascii="Arial" w:hAnsi="Arial" w:cs="Arial"/>
          <w:sz w:val="24"/>
          <w:szCs w:val="24"/>
        </w:rPr>
        <w:t>realizó</w:t>
      </w:r>
      <w:r w:rsidR="004A1BD2" w:rsidRPr="00F87C8F">
        <w:rPr>
          <w:rFonts w:ascii="Arial" w:hAnsi="Arial" w:cs="Arial"/>
          <w:sz w:val="24"/>
          <w:szCs w:val="24"/>
        </w:rPr>
        <w:t xml:space="preserve"> la </w:t>
      </w:r>
      <w:r w:rsidR="00F75536" w:rsidRPr="00F87C8F">
        <w:rPr>
          <w:rFonts w:ascii="Arial" w:hAnsi="Arial" w:cs="Arial"/>
          <w:sz w:val="24"/>
          <w:szCs w:val="24"/>
        </w:rPr>
        <w:t>Sala Regional Monterrey</w:t>
      </w:r>
      <w:r w:rsidRPr="00F87C8F">
        <w:rPr>
          <w:rFonts w:ascii="Arial" w:hAnsi="Arial" w:cs="Arial"/>
          <w:sz w:val="24"/>
          <w:szCs w:val="24"/>
        </w:rPr>
        <w:t xml:space="preserve"> </w:t>
      </w:r>
      <w:r w:rsidR="004A1BD2" w:rsidRPr="00F87C8F">
        <w:rPr>
          <w:rFonts w:ascii="Arial" w:hAnsi="Arial" w:cs="Arial"/>
          <w:sz w:val="24"/>
          <w:szCs w:val="24"/>
        </w:rPr>
        <w:t>en</w:t>
      </w:r>
      <w:r w:rsidRPr="00F87C8F">
        <w:rPr>
          <w:rFonts w:ascii="Arial" w:hAnsi="Arial" w:cs="Arial"/>
          <w:sz w:val="24"/>
          <w:szCs w:val="24"/>
        </w:rPr>
        <w:t xml:space="preserve"> los juicios para la protección de los derechos político-electorales del ciudadano </w:t>
      </w:r>
      <w:r w:rsidR="00D81050" w:rsidRPr="00F87C8F">
        <w:rPr>
          <w:rFonts w:ascii="Arial" w:hAnsi="Arial" w:cs="Arial"/>
          <w:sz w:val="24"/>
          <w:szCs w:val="24"/>
        </w:rPr>
        <w:t xml:space="preserve">identificados con los números </w:t>
      </w:r>
      <w:r w:rsidRPr="00F87C8F">
        <w:rPr>
          <w:rFonts w:ascii="Arial" w:hAnsi="Arial" w:cs="Arial"/>
          <w:sz w:val="24"/>
          <w:szCs w:val="24"/>
        </w:rPr>
        <w:t>SM-JDC-66/2019</w:t>
      </w:r>
      <w:r w:rsidR="00D81050" w:rsidRPr="00F87C8F">
        <w:rPr>
          <w:rStyle w:val="Refdenotaalpie"/>
          <w:rFonts w:ascii="Arial" w:hAnsi="Arial" w:cs="Arial"/>
          <w:sz w:val="24"/>
          <w:szCs w:val="24"/>
        </w:rPr>
        <w:footnoteReference w:id="10"/>
      </w:r>
      <w:r w:rsidR="009A6B70" w:rsidRPr="00F87C8F">
        <w:rPr>
          <w:rFonts w:ascii="Arial" w:hAnsi="Arial" w:cs="Arial"/>
          <w:sz w:val="24"/>
          <w:szCs w:val="24"/>
        </w:rPr>
        <w:t xml:space="preserve">, </w:t>
      </w:r>
      <w:r w:rsidRPr="00F87C8F">
        <w:rPr>
          <w:rFonts w:ascii="Arial" w:hAnsi="Arial" w:cs="Arial"/>
          <w:sz w:val="24"/>
          <w:szCs w:val="24"/>
        </w:rPr>
        <w:t>SM-JDC-67/2019</w:t>
      </w:r>
      <w:r w:rsidR="00D81050" w:rsidRPr="00F87C8F">
        <w:rPr>
          <w:rStyle w:val="Refdenotaalpie"/>
          <w:rFonts w:ascii="Arial" w:hAnsi="Arial" w:cs="Arial"/>
          <w:sz w:val="24"/>
          <w:szCs w:val="24"/>
        </w:rPr>
        <w:footnoteReference w:id="11"/>
      </w:r>
      <w:r w:rsidR="009A6B70" w:rsidRPr="00F87C8F">
        <w:rPr>
          <w:rFonts w:ascii="Arial" w:hAnsi="Arial" w:cs="Arial"/>
          <w:sz w:val="24"/>
          <w:szCs w:val="24"/>
        </w:rPr>
        <w:t xml:space="preserve"> y SM-JDC-125/2019</w:t>
      </w:r>
      <w:r w:rsidR="009A6B70" w:rsidRPr="00F87C8F">
        <w:rPr>
          <w:rStyle w:val="Refdenotaalpie"/>
          <w:rFonts w:ascii="Arial" w:hAnsi="Arial" w:cs="Arial"/>
          <w:sz w:val="24"/>
          <w:szCs w:val="24"/>
        </w:rPr>
        <w:footnoteReference w:id="12"/>
      </w:r>
      <w:r w:rsidR="009A6B70" w:rsidRPr="00F87C8F">
        <w:rPr>
          <w:rFonts w:ascii="Arial" w:hAnsi="Arial" w:cs="Arial"/>
          <w:sz w:val="24"/>
          <w:szCs w:val="24"/>
        </w:rPr>
        <w:t xml:space="preserve">. </w:t>
      </w:r>
    </w:p>
    <w:p w:rsidR="00A70DB1" w:rsidRPr="00F87C8F" w:rsidRDefault="00761AE0" w:rsidP="0025741E">
      <w:pPr>
        <w:pStyle w:val="NormalWeb"/>
        <w:tabs>
          <w:tab w:val="left" w:pos="284"/>
        </w:tabs>
        <w:spacing w:before="0" w:beforeAutospacing="0" w:line="360" w:lineRule="auto"/>
        <w:ind w:right="49"/>
        <w:contextualSpacing/>
        <w:mirrorIndents/>
        <w:jc w:val="both"/>
        <w:rPr>
          <w:rFonts w:ascii="Arial" w:hAnsi="Arial" w:cs="Arial"/>
          <w:lang w:val="es-ES_tradnl"/>
        </w:rPr>
      </w:pPr>
      <w:r w:rsidRPr="00F87C8F">
        <w:rPr>
          <w:rFonts w:ascii="Arial" w:hAnsi="Arial" w:cs="Arial"/>
        </w:rPr>
        <w:t xml:space="preserve">De esta forma, </w:t>
      </w:r>
      <w:r w:rsidR="0083556F" w:rsidRPr="00F87C8F">
        <w:rPr>
          <w:rFonts w:ascii="Arial" w:hAnsi="Arial" w:cs="Arial"/>
        </w:rPr>
        <w:t>toda vez que existe una instancia partidista para solucionar el conflicto,</w:t>
      </w:r>
      <w:r w:rsidR="00D81050" w:rsidRPr="00F87C8F">
        <w:rPr>
          <w:rFonts w:ascii="Arial" w:hAnsi="Arial" w:cs="Arial"/>
        </w:rPr>
        <w:t xml:space="preserve"> </w:t>
      </w:r>
      <w:r w:rsidR="00D81050" w:rsidRPr="00F87C8F">
        <w:rPr>
          <w:rFonts w:ascii="Arial" w:hAnsi="Arial" w:cs="Arial"/>
          <w:i/>
        </w:rPr>
        <w:t>-</w:t>
      </w:r>
      <w:r w:rsidR="00A9780A" w:rsidRPr="00F87C8F">
        <w:rPr>
          <w:rFonts w:ascii="Arial" w:hAnsi="Arial" w:cs="Arial"/>
          <w:i/>
        </w:rPr>
        <w:t>l</w:t>
      </w:r>
      <w:r w:rsidR="00D81050" w:rsidRPr="00F87C8F">
        <w:rPr>
          <w:rFonts w:ascii="Arial" w:hAnsi="Arial" w:cs="Arial"/>
          <w:i/>
        </w:rPr>
        <w:t xml:space="preserve">a </w:t>
      </w:r>
      <w:r w:rsidR="00A9780A" w:rsidRPr="00F87C8F">
        <w:rPr>
          <w:rFonts w:ascii="Arial" w:hAnsi="Arial" w:cs="Arial"/>
          <w:i/>
        </w:rPr>
        <w:t>CNHJ</w:t>
      </w:r>
      <w:r w:rsidR="00D81050" w:rsidRPr="00F87C8F">
        <w:rPr>
          <w:rFonts w:ascii="Arial" w:hAnsi="Arial" w:cs="Arial"/>
          <w:i/>
        </w:rPr>
        <w:t xml:space="preserve">-, </w:t>
      </w:r>
      <w:r w:rsidR="0083556F" w:rsidRPr="00F87C8F">
        <w:rPr>
          <w:rFonts w:ascii="Arial" w:hAnsi="Arial" w:cs="Arial"/>
        </w:rPr>
        <w:t xml:space="preserve">en respeto a los principios de </w:t>
      </w:r>
      <w:r w:rsidRPr="00F87C8F">
        <w:rPr>
          <w:rFonts w:ascii="Arial" w:hAnsi="Arial" w:cs="Arial"/>
        </w:rPr>
        <w:t>continencia de la causa</w:t>
      </w:r>
      <w:r w:rsidR="008D13EE" w:rsidRPr="00F87C8F">
        <w:rPr>
          <w:rFonts w:ascii="Arial" w:hAnsi="Arial" w:cs="Arial"/>
        </w:rPr>
        <w:t xml:space="preserve"> y definitividad,</w:t>
      </w:r>
      <w:r w:rsidRPr="00F87C8F">
        <w:rPr>
          <w:rFonts w:ascii="Arial" w:hAnsi="Arial" w:cs="Arial"/>
        </w:rPr>
        <w:t xml:space="preserve"> así como </w:t>
      </w:r>
      <w:r w:rsidR="0083556F" w:rsidRPr="00F87C8F">
        <w:rPr>
          <w:rFonts w:ascii="Arial" w:hAnsi="Arial" w:cs="Arial"/>
        </w:rPr>
        <w:t xml:space="preserve">a fin de </w:t>
      </w:r>
      <w:r w:rsidRPr="00F87C8F">
        <w:rPr>
          <w:rFonts w:ascii="Arial" w:hAnsi="Arial" w:cs="Arial"/>
        </w:rPr>
        <w:t xml:space="preserve">evitar el dictado de resoluciones contradictorias, lo conducente es el </w:t>
      </w:r>
      <w:r w:rsidR="004A489A" w:rsidRPr="00F87C8F">
        <w:rPr>
          <w:rFonts w:ascii="Arial" w:hAnsi="Arial" w:cs="Arial"/>
        </w:rPr>
        <w:t>reencauzamiento del presente juicio</w:t>
      </w:r>
      <w:r w:rsidR="00A70DB1" w:rsidRPr="00F87C8F">
        <w:rPr>
          <w:rFonts w:ascii="Arial" w:hAnsi="Arial" w:cs="Arial"/>
        </w:rPr>
        <w:t>.</w:t>
      </w:r>
    </w:p>
    <w:p w:rsidR="00A70DB1" w:rsidRPr="00F87C8F" w:rsidRDefault="00A70DB1" w:rsidP="0025741E">
      <w:pPr>
        <w:pStyle w:val="NormalWeb"/>
        <w:tabs>
          <w:tab w:val="left" w:pos="284"/>
        </w:tabs>
        <w:spacing w:line="360" w:lineRule="auto"/>
        <w:ind w:right="49"/>
        <w:contextualSpacing/>
        <w:mirrorIndents/>
        <w:jc w:val="both"/>
        <w:rPr>
          <w:rFonts w:ascii="Arial" w:hAnsi="Arial" w:cs="Arial"/>
          <w:lang w:val="es-ES_tradnl"/>
        </w:rPr>
      </w:pPr>
    </w:p>
    <w:p w:rsidR="00A70DB1" w:rsidRPr="00F87C8F" w:rsidRDefault="00761AE0"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 xml:space="preserve">En efecto, </w:t>
      </w:r>
      <w:r w:rsidR="000A0CB5" w:rsidRPr="00F87C8F">
        <w:rPr>
          <w:rFonts w:ascii="Arial" w:hAnsi="Arial" w:cs="Arial"/>
        </w:rPr>
        <w:t>el artículo 54</w:t>
      </w:r>
      <w:r w:rsidR="00292561" w:rsidRPr="00F87C8F">
        <w:rPr>
          <w:rFonts w:ascii="Arial" w:hAnsi="Arial" w:cs="Arial"/>
        </w:rPr>
        <w:t xml:space="preserve"> de</w:t>
      </w:r>
      <w:r w:rsidR="00D81050" w:rsidRPr="00F87C8F">
        <w:rPr>
          <w:rFonts w:ascii="Arial" w:hAnsi="Arial" w:cs="Arial"/>
        </w:rPr>
        <w:t>l E</w:t>
      </w:r>
      <w:r w:rsidR="000A0CB5" w:rsidRPr="00F87C8F">
        <w:rPr>
          <w:rFonts w:ascii="Arial" w:hAnsi="Arial" w:cs="Arial"/>
        </w:rPr>
        <w:t xml:space="preserve">statuto de </w:t>
      </w:r>
      <w:r w:rsidR="00D81050" w:rsidRPr="00F87C8F">
        <w:rPr>
          <w:rFonts w:ascii="Arial" w:hAnsi="Arial" w:cs="Arial"/>
        </w:rPr>
        <w:t>MORENA</w:t>
      </w:r>
      <w:r w:rsidR="000A0CB5" w:rsidRPr="00F87C8F">
        <w:rPr>
          <w:rFonts w:ascii="Arial" w:hAnsi="Arial" w:cs="Arial"/>
        </w:rPr>
        <w:t xml:space="preserve">, </w:t>
      </w:r>
      <w:r w:rsidR="005B1EE6" w:rsidRPr="00F87C8F">
        <w:rPr>
          <w:rFonts w:ascii="Arial" w:hAnsi="Arial" w:cs="Arial"/>
        </w:rPr>
        <w:t>establece que el procedimiento para conocer de quejas y denuncias</w:t>
      </w:r>
      <w:r w:rsidR="00D81050" w:rsidRPr="00F87C8F">
        <w:rPr>
          <w:rFonts w:ascii="Arial" w:hAnsi="Arial" w:cs="Arial"/>
        </w:rPr>
        <w:t>,</w:t>
      </w:r>
      <w:r w:rsidR="005B1EE6" w:rsidRPr="00F87C8F">
        <w:rPr>
          <w:rFonts w:ascii="Arial" w:hAnsi="Arial" w:cs="Arial"/>
        </w:rPr>
        <w:t xml:space="preserve"> garantizará el derecho de audiencia y defensa e iniciará con el escrito del promovente</w:t>
      </w:r>
      <w:r w:rsidR="0002628C" w:rsidRPr="00F87C8F">
        <w:rPr>
          <w:rFonts w:ascii="Arial" w:hAnsi="Arial" w:cs="Arial"/>
        </w:rPr>
        <w:t xml:space="preserve">, así como autoridad competente para resolver a la </w:t>
      </w:r>
      <w:r w:rsidR="006E3CF2" w:rsidRPr="00F87C8F">
        <w:rPr>
          <w:rFonts w:ascii="Arial" w:hAnsi="Arial" w:cs="Arial"/>
        </w:rPr>
        <w:t>CNHJ.</w:t>
      </w:r>
    </w:p>
    <w:p w:rsidR="001D1548" w:rsidRPr="00F87C8F" w:rsidRDefault="001D1548" w:rsidP="0025741E">
      <w:pPr>
        <w:pStyle w:val="NormalWeb"/>
        <w:tabs>
          <w:tab w:val="left" w:pos="284"/>
        </w:tabs>
        <w:spacing w:after="0" w:afterAutospacing="0" w:line="360" w:lineRule="auto"/>
        <w:ind w:right="49"/>
        <w:contextualSpacing/>
        <w:mirrorIndents/>
        <w:jc w:val="both"/>
        <w:rPr>
          <w:rFonts w:ascii="Arial" w:hAnsi="Arial" w:cs="Arial"/>
        </w:rPr>
      </w:pPr>
    </w:p>
    <w:p w:rsidR="00A70DB1" w:rsidRPr="00F87C8F" w:rsidRDefault="0083556F"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Así</w:t>
      </w:r>
      <w:r w:rsidR="004045F6" w:rsidRPr="00F87C8F">
        <w:rPr>
          <w:rFonts w:ascii="Arial" w:hAnsi="Arial" w:cs="Arial"/>
        </w:rPr>
        <w:t>, se advierte que</w:t>
      </w:r>
      <w:r w:rsidR="00292561" w:rsidRPr="00F87C8F">
        <w:rPr>
          <w:rFonts w:ascii="Arial" w:hAnsi="Arial" w:cs="Arial"/>
        </w:rPr>
        <w:t xml:space="preserve"> está previsto, de manera específica, un medio de impugnación para controvertir las resoluciones emitidas por las comisiones organizadoras electorales </w:t>
      </w:r>
      <w:r w:rsidR="004045F6" w:rsidRPr="00F87C8F">
        <w:rPr>
          <w:rFonts w:ascii="Arial" w:hAnsi="Arial" w:cs="Arial"/>
        </w:rPr>
        <w:t>de Morena</w:t>
      </w:r>
      <w:r w:rsidR="00292561" w:rsidRPr="00F87C8F">
        <w:rPr>
          <w:rFonts w:ascii="Arial" w:hAnsi="Arial" w:cs="Arial"/>
        </w:rPr>
        <w:t>, así como la posible vulneración de derechos con motivo de los procesos internos de selección de candidaturas.</w:t>
      </w:r>
    </w:p>
    <w:p w:rsidR="00A70DB1" w:rsidRPr="00F87C8F" w:rsidRDefault="00A70DB1" w:rsidP="0025741E">
      <w:pPr>
        <w:pStyle w:val="NormalWeb"/>
        <w:tabs>
          <w:tab w:val="left" w:pos="284"/>
        </w:tabs>
        <w:spacing w:line="360" w:lineRule="auto"/>
        <w:ind w:right="49"/>
        <w:contextualSpacing/>
        <w:mirrorIndents/>
        <w:jc w:val="both"/>
        <w:rPr>
          <w:rFonts w:ascii="Arial" w:hAnsi="Arial" w:cs="Arial"/>
        </w:rPr>
      </w:pPr>
    </w:p>
    <w:p w:rsidR="00194D81" w:rsidRPr="00F87C8F" w:rsidRDefault="0083556F"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También</w:t>
      </w:r>
      <w:r w:rsidR="00292561" w:rsidRPr="00F87C8F">
        <w:rPr>
          <w:rFonts w:ascii="Arial" w:hAnsi="Arial" w:cs="Arial"/>
        </w:rPr>
        <w:t xml:space="preserve">, se aprecia la existencia de un órgano partidista encargado asumir atribuciones en materia jurisdiccional dentro de los procesos internos de selección de candidatos. Por tanto, se cumple el primer elemento de la exigencia de agotar las instancias previas, toda vez que existe un órgano partidista y una vía idónea y eficaz para resolver, al interior del partido, la controversia planteada por el actor. </w:t>
      </w:r>
    </w:p>
    <w:p w:rsidR="00194D81" w:rsidRPr="00F87C8F" w:rsidRDefault="00194D81" w:rsidP="0025741E">
      <w:pPr>
        <w:pStyle w:val="NormalWeb"/>
        <w:tabs>
          <w:tab w:val="left" w:pos="284"/>
        </w:tabs>
        <w:spacing w:line="360" w:lineRule="auto"/>
        <w:ind w:right="49"/>
        <w:contextualSpacing/>
        <w:mirrorIndents/>
        <w:jc w:val="both"/>
        <w:rPr>
          <w:rFonts w:ascii="Arial" w:hAnsi="Arial" w:cs="Arial"/>
        </w:rPr>
      </w:pPr>
    </w:p>
    <w:p w:rsidR="00194D81" w:rsidRPr="00F87C8F" w:rsidRDefault="0083556F" w:rsidP="0025741E">
      <w:pPr>
        <w:pStyle w:val="NormalWeb"/>
        <w:tabs>
          <w:tab w:val="left" w:pos="284"/>
        </w:tabs>
        <w:spacing w:line="360" w:lineRule="auto"/>
        <w:ind w:right="49"/>
        <w:contextualSpacing/>
        <w:mirrorIndents/>
        <w:jc w:val="both"/>
        <w:rPr>
          <w:rFonts w:ascii="Arial" w:hAnsi="Arial" w:cs="Arial"/>
          <w:i/>
        </w:rPr>
      </w:pPr>
      <w:r w:rsidRPr="00F87C8F">
        <w:rPr>
          <w:rFonts w:ascii="Arial" w:hAnsi="Arial" w:cs="Arial"/>
        </w:rPr>
        <w:lastRenderedPageBreak/>
        <w:t xml:space="preserve">En tal orden, </w:t>
      </w:r>
      <w:r w:rsidR="00A70DB1" w:rsidRPr="00F87C8F">
        <w:rPr>
          <w:rFonts w:ascii="Arial" w:hAnsi="Arial" w:cs="Arial"/>
        </w:rPr>
        <w:t xml:space="preserve">aun cuando </w:t>
      </w:r>
      <w:r w:rsidR="008D13EE" w:rsidRPr="00F87C8F">
        <w:rPr>
          <w:rFonts w:ascii="Arial" w:hAnsi="Arial" w:cs="Arial"/>
          <w:b/>
        </w:rPr>
        <w:t>en este momento</w:t>
      </w:r>
      <w:r w:rsidR="008D13EE" w:rsidRPr="00F87C8F">
        <w:rPr>
          <w:rFonts w:ascii="Arial" w:hAnsi="Arial" w:cs="Arial"/>
        </w:rPr>
        <w:t xml:space="preserve"> </w:t>
      </w:r>
      <w:r w:rsidR="00A70DB1" w:rsidRPr="00F87C8F">
        <w:rPr>
          <w:rFonts w:ascii="Arial" w:hAnsi="Arial" w:cs="Arial"/>
        </w:rPr>
        <w:t xml:space="preserve">es improcedente el juicio para la protección de los derechos político-electorales del ciudadano ante este Tribunal Electoral </w:t>
      </w:r>
      <w:r w:rsidR="008D13EE" w:rsidRPr="00F87C8F">
        <w:rPr>
          <w:rFonts w:ascii="Arial" w:hAnsi="Arial" w:cs="Arial"/>
          <w:i/>
        </w:rPr>
        <w:t>-porque primero debe agotarse la instancia intrapartidista-</w:t>
      </w:r>
      <w:r w:rsidR="008D13EE" w:rsidRPr="00F87C8F">
        <w:rPr>
          <w:rFonts w:ascii="Arial" w:hAnsi="Arial" w:cs="Arial"/>
        </w:rPr>
        <w:t>,</w:t>
      </w:r>
      <w:r w:rsidR="00A70DB1" w:rsidRPr="00F87C8F">
        <w:rPr>
          <w:rFonts w:ascii="Arial" w:hAnsi="Arial" w:cs="Arial"/>
        </w:rPr>
        <w:t xml:space="preserve"> a fin de garantizar el derecho al acceso a la justicia pronta y expedita prevista por el artículo 17 de la Constitución Federal, lo que procede es </w:t>
      </w:r>
      <w:r w:rsidR="00A70DB1" w:rsidRPr="00F87C8F">
        <w:rPr>
          <w:rFonts w:ascii="Arial" w:hAnsi="Arial" w:cs="Arial"/>
          <w:b/>
        </w:rPr>
        <w:t xml:space="preserve">reencauzar </w:t>
      </w:r>
      <w:r w:rsidR="00A70DB1" w:rsidRPr="00F87C8F">
        <w:rPr>
          <w:rFonts w:ascii="Arial" w:hAnsi="Arial" w:cs="Arial"/>
        </w:rPr>
        <w:t xml:space="preserve">la demanda </w:t>
      </w:r>
      <w:r w:rsidR="00A70DB1" w:rsidRPr="00F87C8F">
        <w:rPr>
          <w:rFonts w:ascii="Arial" w:hAnsi="Arial" w:cs="Arial"/>
          <w:lang w:val="es-ES_tradnl"/>
        </w:rPr>
        <w:t xml:space="preserve">a la </w:t>
      </w:r>
      <w:r w:rsidR="00A9780A" w:rsidRPr="00F87C8F">
        <w:rPr>
          <w:rFonts w:ascii="Arial" w:hAnsi="Arial" w:cs="Arial"/>
        </w:rPr>
        <w:t>CNHJ</w:t>
      </w:r>
      <w:r w:rsidR="00A70DB1" w:rsidRPr="00F87C8F">
        <w:rPr>
          <w:rFonts w:ascii="Arial" w:hAnsi="Arial" w:cs="Arial"/>
        </w:rPr>
        <w:t xml:space="preserve">, para que resuelva lo que corresponda conforme a sus atribuciones, </w:t>
      </w:r>
      <w:r w:rsidR="00A70DB1" w:rsidRPr="00F87C8F">
        <w:rPr>
          <w:rFonts w:ascii="Arial" w:hAnsi="Arial" w:cs="Arial"/>
          <w:b/>
        </w:rPr>
        <w:t xml:space="preserve">dentro del plazo de </w:t>
      </w:r>
      <w:r w:rsidR="00A9780A" w:rsidRPr="00F87C8F">
        <w:rPr>
          <w:rFonts w:ascii="Arial" w:hAnsi="Arial" w:cs="Arial"/>
          <w:b/>
        </w:rPr>
        <w:t xml:space="preserve">cuarenta y ocho horas </w:t>
      </w:r>
      <w:r w:rsidR="00A70DB1" w:rsidRPr="00F87C8F">
        <w:rPr>
          <w:rFonts w:ascii="Arial" w:hAnsi="Arial" w:cs="Arial"/>
        </w:rPr>
        <w:t xml:space="preserve">contados a partir de que </w:t>
      </w:r>
      <w:r w:rsidR="00D81050" w:rsidRPr="00F87C8F">
        <w:rPr>
          <w:rFonts w:ascii="Arial" w:hAnsi="Arial" w:cs="Arial"/>
        </w:rPr>
        <w:t xml:space="preserve">sea certificado el envío de </w:t>
      </w:r>
      <w:r w:rsidR="00A70DB1" w:rsidRPr="00F87C8F">
        <w:rPr>
          <w:rFonts w:ascii="Arial" w:hAnsi="Arial" w:cs="Arial"/>
        </w:rPr>
        <w:t>la notificación vía correo electrónico de</w:t>
      </w:r>
      <w:r w:rsidR="00D81050" w:rsidRPr="00F87C8F">
        <w:rPr>
          <w:rFonts w:ascii="Arial" w:hAnsi="Arial" w:cs="Arial"/>
        </w:rPr>
        <w:t xml:space="preserve"> este</w:t>
      </w:r>
      <w:r w:rsidR="00A70DB1" w:rsidRPr="00F87C8F">
        <w:rPr>
          <w:rFonts w:ascii="Arial" w:hAnsi="Arial" w:cs="Arial"/>
        </w:rPr>
        <w:t xml:space="preserve"> acuerdo, </w:t>
      </w:r>
      <w:r w:rsidR="0025741E">
        <w:rPr>
          <w:rFonts w:ascii="Arial" w:hAnsi="Arial" w:cs="Arial"/>
        </w:rPr>
        <w:t>a</w:t>
      </w:r>
      <w:r w:rsidR="00A70DB1" w:rsidRPr="00F87C8F">
        <w:rPr>
          <w:rFonts w:ascii="Arial" w:hAnsi="Arial" w:cs="Arial"/>
        </w:rPr>
        <w:t xml:space="preserve"> la cuenta </w:t>
      </w:r>
      <w:hyperlink r:id="rId9" w:history="1">
        <w:r w:rsidR="00A70DB1" w:rsidRPr="00F87C8F">
          <w:rPr>
            <w:rStyle w:val="Hipervnculo"/>
            <w:rFonts w:ascii="Arial" w:hAnsi="Arial" w:cs="Arial"/>
            <w:i/>
          </w:rPr>
          <w:t>morenacnhj@gmail.com</w:t>
        </w:r>
      </w:hyperlink>
      <w:r w:rsidR="00A70DB1" w:rsidRPr="00F87C8F">
        <w:rPr>
          <w:rFonts w:ascii="Arial" w:hAnsi="Arial" w:cs="Arial"/>
          <w:i/>
        </w:rPr>
        <w:t xml:space="preserve">. </w:t>
      </w:r>
    </w:p>
    <w:p w:rsidR="00194D81" w:rsidRPr="00F87C8F" w:rsidRDefault="00194D81" w:rsidP="0025741E">
      <w:pPr>
        <w:pStyle w:val="NormalWeb"/>
        <w:tabs>
          <w:tab w:val="left" w:pos="284"/>
        </w:tabs>
        <w:spacing w:line="360" w:lineRule="auto"/>
        <w:ind w:right="49"/>
        <w:contextualSpacing/>
        <w:mirrorIndents/>
        <w:jc w:val="both"/>
        <w:rPr>
          <w:rFonts w:ascii="Arial" w:hAnsi="Arial" w:cs="Arial"/>
          <w:i/>
        </w:rPr>
      </w:pPr>
    </w:p>
    <w:p w:rsidR="00194D81" w:rsidRPr="00F87C8F" w:rsidRDefault="00AB0672"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 xml:space="preserve">Esta determinación no prejuzga sobre el cumplimiento de los requisitos de procedencia, ya que tal decisión la deberá asumir el órgano </w:t>
      </w:r>
      <w:r w:rsidR="00D81050" w:rsidRPr="00F87C8F">
        <w:rPr>
          <w:rFonts w:ascii="Arial" w:hAnsi="Arial" w:cs="Arial"/>
        </w:rPr>
        <w:t xml:space="preserve">jurisdiccional </w:t>
      </w:r>
      <w:r w:rsidRPr="00F87C8F">
        <w:rPr>
          <w:rFonts w:ascii="Arial" w:hAnsi="Arial" w:cs="Arial"/>
        </w:rPr>
        <w:t>partidista al analizar la demanda</w:t>
      </w:r>
      <w:r w:rsidRPr="00F87C8F">
        <w:rPr>
          <w:rFonts w:ascii="Arial" w:hAnsi="Arial" w:cs="Arial"/>
          <w:vertAlign w:val="superscript"/>
        </w:rPr>
        <w:footnoteReference w:id="13"/>
      </w:r>
      <w:r w:rsidRPr="00F87C8F">
        <w:rPr>
          <w:rFonts w:ascii="Arial" w:hAnsi="Arial" w:cs="Arial"/>
        </w:rPr>
        <w:t>.</w:t>
      </w:r>
    </w:p>
    <w:p w:rsidR="00194D81" w:rsidRPr="00F87C8F" w:rsidRDefault="00194D81" w:rsidP="0025741E">
      <w:pPr>
        <w:pStyle w:val="NormalWeb"/>
        <w:tabs>
          <w:tab w:val="left" w:pos="284"/>
        </w:tabs>
        <w:spacing w:line="360" w:lineRule="auto"/>
        <w:ind w:right="49"/>
        <w:contextualSpacing/>
        <w:mirrorIndents/>
        <w:jc w:val="both"/>
        <w:rPr>
          <w:rFonts w:ascii="Arial" w:hAnsi="Arial" w:cs="Arial"/>
        </w:rPr>
      </w:pPr>
    </w:p>
    <w:p w:rsidR="00194D81" w:rsidRPr="00F87C8F" w:rsidRDefault="00A70DB1"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 xml:space="preserve">La </w:t>
      </w:r>
      <w:r w:rsidR="006E3CF2" w:rsidRPr="00F87C8F">
        <w:rPr>
          <w:rFonts w:ascii="Arial" w:hAnsi="Arial" w:cs="Arial"/>
        </w:rPr>
        <w:t>CNHJ</w:t>
      </w:r>
      <w:r w:rsidRPr="00F87C8F">
        <w:rPr>
          <w:rFonts w:ascii="Arial" w:hAnsi="Arial" w:cs="Arial"/>
        </w:rPr>
        <w:t xml:space="preserve"> deberá informar a este Tribunal sobre el cumplimiento, dentro de las </w:t>
      </w:r>
      <w:r w:rsidRPr="00F87C8F">
        <w:rPr>
          <w:rFonts w:ascii="Arial" w:hAnsi="Arial" w:cs="Arial"/>
          <w:b/>
        </w:rPr>
        <w:t xml:space="preserve">veinticuatro horas </w:t>
      </w:r>
      <w:r w:rsidRPr="00F87C8F">
        <w:rPr>
          <w:rFonts w:ascii="Arial" w:hAnsi="Arial" w:cs="Arial"/>
        </w:rPr>
        <w:t xml:space="preserve">posteriores a que emita la resolución y remitir las constancias que así lo acrediten, primero vía correo electrónico a la cuenta </w:t>
      </w:r>
      <w:r w:rsidRPr="00F87C8F">
        <w:rPr>
          <w:rStyle w:val="Hipervnculo"/>
          <w:rFonts w:ascii="Arial" w:hAnsi="Arial" w:cs="Arial"/>
          <w:bCs/>
          <w:i/>
        </w:rPr>
        <w:t>cumplimientos@teeags.mx</w:t>
      </w:r>
      <w:r w:rsidRPr="00F87C8F">
        <w:rPr>
          <w:rFonts w:ascii="Arial" w:hAnsi="Arial" w:cs="Arial"/>
          <w:bCs/>
        </w:rPr>
        <w:t xml:space="preserve"> </w:t>
      </w:r>
      <w:r w:rsidRPr="00F87C8F">
        <w:rPr>
          <w:rFonts w:ascii="Arial" w:hAnsi="Arial" w:cs="Arial"/>
        </w:rPr>
        <w:t xml:space="preserve">y, posteriormente, en original o copia certificada por el medio más rápido; apercibida </w:t>
      </w:r>
      <w:r w:rsidRPr="00F87C8F">
        <w:rPr>
          <w:rFonts w:ascii="Arial" w:hAnsi="Arial" w:cs="Arial"/>
          <w:lang w:val="es-ES_tradnl"/>
        </w:rPr>
        <w:t>que, en caso de incumplir lo ordenado en el plazo señalado, se aplicará alguna de las medidas de apremio a que se refiere el artículo 328</w:t>
      </w:r>
      <w:r w:rsidR="006E3CF2" w:rsidRPr="00F87C8F">
        <w:rPr>
          <w:rFonts w:ascii="Arial" w:hAnsi="Arial" w:cs="Arial"/>
          <w:lang w:val="es-ES_tradnl"/>
        </w:rPr>
        <w:t>,</w:t>
      </w:r>
      <w:r w:rsidRPr="00F87C8F">
        <w:rPr>
          <w:rFonts w:ascii="Arial" w:hAnsi="Arial" w:cs="Arial"/>
          <w:lang w:val="es-ES_tradnl"/>
        </w:rPr>
        <w:t xml:space="preserve"> del Código Electoral para el Estado de Aguascalientes. </w:t>
      </w:r>
    </w:p>
    <w:p w:rsidR="00194D81" w:rsidRPr="00F87C8F" w:rsidRDefault="00194D81" w:rsidP="0025741E">
      <w:pPr>
        <w:pStyle w:val="NormalWeb"/>
        <w:tabs>
          <w:tab w:val="left" w:pos="284"/>
        </w:tabs>
        <w:spacing w:line="360" w:lineRule="auto"/>
        <w:ind w:right="49"/>
        <w:contextualSpacing/>
        <w:mirrorIndents/>
        <w:jc w:val="both"/>
        <w:rPr>
          <w:rFonts w:ascii="Arial" w:hAnsi="Arial" w:cs="Arial"/>
          <w:lang w:val="es-ES_tradnl"/>
        </w:rPr>
      </w:pPr>
    </w:p>
    <w:p w:rsidR="006E3CF2" w:rsidRDefault="0084795A"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Por lo tanto, deberán desglosarse del expediente</w:t>
      </w:r>
      <w:r w:rsidR="00255091" w:rsidRPr="00F87C8F">
        <w:rPr>
          <w:rFonts w:ascii="Arial" w:hAnsi="Arial" w:cs="Arial"/>
        </w:rPr>
        <w:t xml:space="preserve"> en que se actúa el escrito de demanda y los anexos que a la misma acompañó el promovente,</w:t>
      </w:r>
      <w:r w:rsidR="00F94BAF" w:rsidRPr="00F87C8F">
        <w:rPr>
          <w:rFonts w:ascii="Arial" w:hAnsi="Arial" w:cs="Arial"/>
        </w:rPr>
        <w:t xml:space="preserve"> </w:t>
      </w:r>
      <w:r w:rsidRPr="00F87C8F">
        <w:rPr>
          <w:rFonts w:ascii="Arial" w:hAnsi="Arial" w:cs="Arial"/>
        </w:rPr>
        <w:t>para que sean remitidas al órgano de justicia interna de</w:t>
      </w:r>
      <w:r w:rsidR="00AB0672" w:rsidRPr="00F87C8F">
        <w:rPr>
          <w:rFonts w:ascii="Arial" w:hAnsi="Arial" w:cs="Arial"/>
        </w:rPr>
        <w:t xml:space="preserve"> MORENA,</w:t>
      </w:r>
      <w:r w:rsidR="00255091" w:rsidRPr="00F87C8F">
        <w:rPr>
          <w:rFonts w:ascii="Arial" w:hAnsi="Arial" w:cs="Arial"/>
        </w:rPr>
        <w:t xml:space="preserve"> previa copia certificada que de los mismos se deje en autos.</w:t>
      </w:r>
    </w:p>
    <w:p w:rsidR="008C015B" w:rsidRDefault="008C015B" w:rsidP="0025741E">
      <w:pPr>
        <w:pStyle w:val="NormalWeb"/>
        <w:tabs>
          <w:tab w:val="left" w:pos="284"/>
        </w:tabs>
        <w:spacing w:line="360" w:lineRule="auto"/>
        <w:ind w:right="49"/>
        <w:contextualSpacing/>
        <w:mirrorIndents/>
        <w:jc w:val="both"/>
        <w:rPr>
          <w:rFonts w:ascii="Arial" w:hAnsi="Arial" w:cs="Arial"/>
        </w:rPr>
      </w:pPr>
    </w:p>
    <w:p w:rsidR="006E3CF2" w:rsidRPr="008C015B" w:rsidRDefault="00255091" w:rsidP="0025741E">
      <w:pPr>
        <w:pStyle w:val="NormalWeb"/>
        <w:numPr>
          <w:ilvl w:val="0"/>
          <w:numId w:val="7"/>
        </w:numPr>
        <w:tabs>
          <w:tab w:val="left" w:pos="142"/>
          <w:tab w:val="left" w:pos="284"/>
        </w:tabs>
        <w:spacing w:line="360" w:lineRule="auto"/>
        <w:ind w:left="0" w:right="49" w:hanging="1"/>
        <w:contextualSpacing/>
        <w:mirrorIndents/>
        <w:jc w:val="both"/>
        <w:rPr>
          <w:rFonts w:ascii="Arial" w:hAnsi="Arial" w:cs="Arial"/>
          <w:color w:val="FF0000"/>
          <w:lang w:val="es-ES_tradnl" w:eastAsia="es-ES"/>
        </w:rPr>
      </w:pPr>
      <w:r w:rsidRPr="00F87C8F">
        <w:rPr>
          <w:rFonts w:ascii="Arial" w:hAnsi="Arial" w:cs="Arial"/>
          <w:b/>
        </w:rPr>
        <w:t xml:space="preserve">PUNTOS DE </w:t>
      </w:r>
      <w:r w:rsidR="0084795A" w:rsidRPr="00F87C8F">
        <w:rPr>
          <w:rFonts w:ascii="Arial" w:hAnsi="Arial" w:cs="Arial"/>
          <w:b/>
        </w:rPr>
        <w:t>ACUERDO</w:t>
      </w:r>
      <w:r w:rsidRPr="00F87C8F">
        <w:rPr>
          <w:rFonts w:ascii="Arial" w:hAnsi="Arial" w:cs="Arial"/>
          <w:b/>
        </w:rPr>
        <w:t>:</w:t>
      </w:r>
    </w:p>
    <w:p w:rsidR="008C015B" w:rsidRPr="008C5144" w:rsidRDefault="008C015B" w:rsidP="0025741E">
      <w:pPr>
        <w:pStyle w:val="NormalWeb"/>
        <w:tabs>
          <w:tab w:val="left" w:pos="284"/>
        </w:tabs>
        <w:spacing w:line="360" w:lineRule="auto"/>
        <w:ind w:right="49"/>
        <w:contextualSpacing/>
        <w:mirrorIndents/>
        <w:jc w:val="both"/>
        <w:rPr>
          <w:rFonts w:ascii="Arial" w:hAnsi="Arial" w:cs="Arial"/>
          <w:color w:val="FF0000"/>
          <w:lang w:val="es-ES_tradnl" w:eastAsia="es-ES"/>
        </w:rPr>
      </w:pPr>
    </w:p>
    <w:p w:rsidR="00B87143" w:rsidRPr="00B87143" w:rsidRDefault="0084795A" w:rsidP="0025741E">
      <w:pPr>
        <w:pStyle w:val="NormalWeb"/>
        <w:tabs>
          <w:tab w:val="left" w:pos="284"/>
        </w:tabs>
        <w:spacing w:line="360" w:lineRule="auto"/>
        <w:ind w:right="49"/>
        <w:contextualSpacing/>
        <w:mirrorIndents/>
        <w:jc w:val="both"/>
        <w:rPr>
          <w:rFonts w:ascii="Arial" w:hAnsi="Arial" w:cs="Arial"/>
          <w:color w:val="FF0000"/>
          <w:lang w:val="es-ES_tradnl" w:eastAsia="es-ES"/>
        </w:rPr>
      </w:pPr>
      <w:r w:rsidRPr="00F87C8F">
        <w:rPr>
          <w:rFonts w:ascii="Arial" w:hAnsi="Arial" w:cs="Arial"/>
          <w:b/>
          <w:color w:val="000000" w:themeColor="text1"/>
        </w:rPr>
        <w:t xml:space="preserve">PRIMERO. </w:t>
      </w:r>
      <w:r w:rsidRPr="00F87C8F">
        <w:rPr>
          <w:rFonts w:ascii="Arial" w:hAnsi="Arial" w:cs="Arial"/>
        </w:rPr>
        <w:t xml:space="preserve">Es improcedente conocer vía per </w:t>
      </w:r>
      <w:proofErr w:type="spellStart"/>
      <w:r w:rsidRPr="00F87C8F">
        <w:rPr>
          <w:rFonts w:ascii="Arial" w:hAnsi="Arial" w:cs="Arial"/>
        </w:rPr>
        <w:t>saltum</w:t>
      </w:r>
      <w:proofErr w:type="spellEnd"/>
      <w:r w:rsidRPr="00F87C8F">
        <w:rPr>
          <w:rFonts w:ascii="Arial" w:hAnsi="Arial" w:cs="Arial"/>
        </w:rPr>
        <w:t xml:space="preserve"> </w:t>
      </w:r>
      <w:r w:rsidR="00255091" w:rsidRPr="00F87C8F">
        <w:rPr>
          <w:rFonts w:ascii="Arial" w:hAnsi="Arial" w:cs="Arial"/>
        </w:rPr>
        <w:t>el</w:t>
      </w:r>
      <w:r w:rsidRPr="00F87C8F">
        <w:rPr>
          <w:rFonts w:ascii="Arial" w:hAnsi="Arial" w:cs="Arial"/>
        </w:rPr>
        <w:t xml:space="preserve"> juicio para la protección de los d</w:t>
      </w:r>
      <w:r w:rsidR="00255091" w:rsidRPr="00F87C8F">
        <w:rPr>
          <w:rFonts w:ascii="Arial" w:hAnsi="Arial" w:cs="Arial"/>
        </w:rPr>
        <w:t>er</w:t>
      </w:r>
      <w:r w:rsidRPr="00F87C8F">
        <w:rPr>
          <w:rFonts w:ascii="Arial" w:hAnsi="Arial" w:cs="Arial"/>
        </w:rPr>
        <w:t>echos político-electorales del ciudadano</w:t>
      </w:r>
      <w:r w:rsidR="00255091" w:rsidRPr="00F87C8F">
        <w:rPr>
          <w:rFonts w:ascii="Arial" w:hAnsi="Arial" w:cs="Arial"/>
        </w:rPr>
        <w:t>, promovido por</w:t>
      </w:r>
      <w:r w:rsidR="00755290">
        <w:rPr>
          <w:rFonts w:ascii="Arial" w:hAnsi="Arial" w:cs="Arial"/>
          <w:color w:val="000000" w:themeColor="text1"/>
          <w:lang w:val="es-ES_tradnl" w:eastAsia="es-ES"/>
        </w:rPr>
        <w:t xml:space="preserve"> Erasto Rentería Vázquez</w:t>
      </w:r>
      <w:r w:rsidR="00B87143" w:rsidRPr="00B87143">
        <w:rPr>
          <w:rFonts w:ascii="Arial" w:hAnsi="Arial" w:cs="Arial"/>
          <w:color w:val="000000" w:themeColor="text1"/>
          <w:lang w:val="es-ES_tradnl" w:eastAsia="es-ES"/>
        </w:rPr>
        <w:t>.</w:t>
      </w:r>
    </w:p>
    <w:p w:rsidR="006E3CF2" w:rsidRPr="00F87C8F" w:rsidRDefault="006E3CF2" w:rsidP="0025741E">
      <w:pPr>
        <w:pStyle w:val="NormalWeb"/>
        <w:tabs>
          <w:tab w:val="left" w:pos="284"/>
        </w:tabs>
        <w:spacing w:line="360" w:lineRule="auto"/>
        <w:ind w:right="49"/>
        <w:contextualSpacing/>
        <w:mirrorIndents/>
        <w:jc w:val="both"/>
        <w:rPr>
          <w:rFonts w:ascii="Arial" w:hAnsi="Arial" w:cs="Arial"/>
          <w:color w:val="FF0000"/>
          <w:lang w:val="es-ES_tradnl" w:eastAsia="es-ES"/>
        </w:rPr>
      </w:pPr>
    </w:p>
    <w:p w:rsidR="006E3CF2" w:rsidRPr="00F87C8F" w:rsidRDefault="00255091"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b/>
        </w:rPr>
        <w:lastRenderedPageBreak/>
        <w:t>SEGUNDO</w:t>
      </w:r>
      <w:r w:rsidR="0084795A" w:rsidRPr="00F87C8F">
        <w:rPr>
          <w:rFonts w:ascii="Arial" w:hAnsi="Arial" w:cs="Arial"/>
          <w:b/>
        </w:rPr>
        <w:t>.</w:t>
      </w:r>
      <w:r w:rsidR="0084795A" w:rsidRPr="00F87C8F">
        <w:rPr>
          <w:rFonts w:ascii="Arial" w:hAnsi="Arial" w:cs="Arial"/>
        </w:rPr>
        <w:t xml:space="preserve"> Se </w:t>
      </w:r>
      <w:r w:rsidR="0084795A" w:rsidRPr="00F87C8F">
        <w:rPr>
          <w:rFonts w:ascii="Arial" w:hAnsi="Arial" w:cs="Arial"/>
          <w:b/>
        </w:rPr>
        <w:t xml:space="preserve">reencauza </w:t>
      </w:r>
      <w:r w:rsidR="0084795A" w:rsidRPr="00F87C8F">
        <w:rPr>
          <w:rFonts w:ascii="Arial" w:hAnsi="Arial" w:cs="Arial"/>
        </w:rPr>
        <w:t xml:space="preserve">el presente medio de impugnación </w:t>
      </w:r>
      <w:r w:rsidRPr="00F87C8F">
        <w:rPr>
          <w:rFonts w:ascii="Arial" w:hAnsi="Arial" w:cs="Arial"/>
        </w:rPr>
        <w:t>a la</w:t>
      </w:r>
      <w:r w:rsidRPr="00F87C8F">
        <w:rPr>
          <w:rFonts w:ascii="Arial" w:hAnsi="Arial" w:cs="Arial"/>
          <w:b/>
        </w:rPr>
        <w:t xml:space="preserve"> Comisión Nacional de Hon</w:t>
      </w:r>
      <w:r w:rsidR="00AB0672" w:rsidRPr="00F87C8F">
        <w:rPr>
          <w:rFonts w:ascii="Arial" w:hAnsi="Arial" w:cs="Arial"/>
          <w:b/>
        </w:rPr>
        <w:t>estidad y Justicia de MORENA</w:t>
      </w:r>
      <w:r w:rsidR="0084795A" w:rsidRPr="00F87C8F">
        <w:rPr>
          <w:rFonts w:ascii="Arial" w:hAnsi="Arial" w:cs="Arial"/>
        </w:rPr>
        <w:t xml:space="preserve">, por ser el órgano competente para su conocimiento y resolución, en los términos precisados en </w:t>
      </w:r>
      <w:r w:rsidRPr="00F87C8F">
        <w:rPr>
          <w:rFonts w:ascii="Arial" w:hAnsi="Arial" w:cs="Arial"/>
        </w:rPr>
        <w:t xml:space="preserve">este acuerdo. </w:t>
      </w:r>
    </w:p>
    <w:p w:rsidR="006E3CF2" w:rsidRPr="00F87C8F" w:rsidRDefault="006E3CF2" w:rsidP="0025741E">
      <w:pPr>
        <w:pStyle w:val="NormalWeb"/>
        <w:tabs>
          <w:tab w:val="left" w:pos="284"/>
        </w:tabs>
        <w:spacing w:line="360" w:lineRule="auto"/>
        <w:ind w:right="49"/>
        <w:contextualSpacing/>
        <w:mirrorIndents/>
        <w:jc w:val="both"/>
        <w:rPr>
          <w:rFonts w:ascii="Arial" w:hAnsi="Arial" w:cs="Arial"/>
          <w:b/>
        </w:rPr>
      </w:pPr>
    </w:p>
    <w:p w:rsidR="006E3CF2" w:rsidRPr="00F87C8F" w:rsidRDefault="00255091"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b/>
        </w:rPr>
        <w:t>TERCERO</w:t>
      </w:r>
      <w:r w:rsidR="0084795A" w:rsidRPr="00F87C8F">
        <w:rPr>
          <w:rFonts w:ascii="Arial" w:hAnsi="Arial" w:cs="Arial"/>
          <w:b/>
        </w:rPr>
        <w:t>.</w:t>
      </w:r>
      <w:r w:rsidR="0084795A" w:rsidRPr="00F87C8F">
        <w:rPr>
          <w:rFonts w:ascii="Arial" w:hAnsi="Arial" w:cs="Arial"/>
        </w:rPr>
        <w:t xml:space="preserve"> Se ordena a </w:t>
      </w:r>
      <w:r w:rsidRPr="00F87C8F">
        <w:rPr>
          <w:rFonts w:ascii="Arial" w:hAnsi="Arial" w:cs="Arial"/>
        </w:rPr>
        <w:t>la</w:t>
      </w:r>
      <w:r w:rsidRPr="00F87C8F">
        <w:rPr>
          <w:rFonts w:ascii="Arial" w:hAnsi="Arial" w:cs="Arial"/>
          <w:b/>
        </w:rPr>
        <w:t xml:space="preserve"> Comisión Nacional de Hon</w:t>
      </w:r>
      <w:r w:rsidR="00AB0672" w:rsidRPr="00F87C8F">
        <w:rPr>
          <w:rFonts w:ascii="Arial" w:hAnsi="Arial" w:cs="Arial"/>
          <w:b/>
        </w:rPr>
        <w:t>estidad y Justicia de MORENA</w:t>
      </w:r>
      <w:r w:rsidR="0084795A" w:rsidRPr="00F87C8F">
        <w:rPr>
          <w:rFonts w:ascii="Arial" w:hAnsi="Arial" w:cs="Arial"/>
        </w:rPr>
        <w:t xml:space="preserve">, dar cumplimiento a lo ordenado por este Tribunal, en </w:t>
      </w:r>
      <w:r w:rsidRPr="00F87C8F">
        <w:rPr>
          <w:rFonts w:ascii="Arial" w:hAnsi="Arial" w:cs="Arial"/>
        </w:rPr>
        <w:t xml:space="preserve">los términos y plazos precisados en </w:t>
      </w:r>
      <w:r w:rsidR="008E51C8" w:rsidRPr="00F87C8F">
        <w:rPr>
          <w:rFonts w:ascii="Arial" w:hAnsi="Arial" w:cs="Arial"/>
        </w:rPr>
        <w:t>el presente acuerdo.</w:t>
      </w:r>
      <w:r w:rsidRPr="00F87C8F">
        <w:rPr>
          <w:rFonts w:ascii="Arial" w:hAnsi="Arial" w:cs="Arial"/>
        </w:rPr>
        <w:t xml:space="preserve"> </w:t>
      </w:r>
    </w:p>
    <w:p w:rsidR="006E3CF2" w:rsidRPr="00F87C8F" w:rsidRDefault="006E3CF2" w:rsidP="0025741E">
      <w:pPr>
        <w:pStyle w:val="NormalWeb"/>
        <w:tabs>
          <w:tab w:val="left" w:pos="284"/>
        </w:tabs>
        <w:spacing w:line="360" w:lineRule="auto"/>
        <w:ind w:right="49"/>
        <w:contextualSpacing/>
        <w:mirrorIndents/>
        <w:jc w:val="both"/>
        <w:rPr>
          <w:rFonts w:ascii="Arial" w:hAnsi="Arial" w:cs="Arial"/>
          <w:b/>
        </w:rPr>
      </w:pPr>
    </w:p>
    <w:p w:rsidR="006E3CF2" w:rsidRPr="00F87C8F" w:rsidRDefault="0084795A"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b/>
        </w:rPr>
        <w:t>NOTIFIQUESE.</w:t>
      </w:r>
      <w:r w:rsidRPr="00F87C8F">
        <w:rPr>
          <w:rFonts w:ascii="Arial" w:hAnsi="Arial" w:cs="Arial"/>
        </w:rPr>
        <w:t xml:space="preserve"> En su oportunidad, archívese el presente expediente como asunto concluido</w:t>
      </w:r>
      <w:r w:rsidR="00255091" w:rsidRPr="00F87C8F">
        <w:rPr>
          <w:rFonts w:ascii="Arial" w:hAnsi="Arial" w:cs="Arial"/>
        </w:rPr>
        <w:t xml:space="preserve">. </w:t>
      </w:r>
    </w:p>
    <w:p w:rsidR="006E3CF2" w:rsidRPr="00F87C8F" w:rsidRDefault="006E3CF2" w:rsidP="0025741E">
      <w:pPr>
        <w:pStyle w:val="NormalWeb"/>
        <w:tabs>
          <w:tab w:val="left" w:pos="284"/>
        </w:tabs>
        <w:spacing w:line="360" w:lineRule="auto"/>
        <w:ind w:right="49"/>
        <w:contextualSpacing/>
        <w:mirrorIndents/>
        <w:jc w:val="both"/>
        <w:rPr>
          <w:rFonts w:ascii="Arial" w:hAnsi="Arial" w:cs="Arial"/>
        </w:rPr>
      </w:pPr>
    </w:p>
    <w:p w:rsidR="00D70EFD" w:rsidRPr="00F87C8F" w:rsidRDefault="00D70EFD" w:rsidP="0025741E">
      <w:pPr>
        <w:pStyle w:val="NormalWeb"/>
        <w:tabs>
          <w:tab w:val="left" w:pos="284"/>
        </w:tabs>
        <w:spacing w:line="360" w:lineRule="auto"/>
        <w:ind w:right="49"/>
        <w:contextualSpacing/>
        <w:mirrorIndents/>
        <w:jc w:val="both"/>
        <w:rPr>
          <w:rFonts w:ascii="Arial" w:hAnsi="Arial" w:cs="Arial"/>
        </w:rPr>
      </w:pPr>
      <w:r w:rsidRPr="00F87C8F">
        <w:rPr>
          <w:rFonts w:ascii="Arial" w:hAnsi="Arial" w:cs="Arial"/>
        </w:rPr>
        <w:t>Así lo acordó el Pleno del Tribunal Electoral del Estado de Aguascalientes, ante el Secretario General de Acuerdos, quien autoriza y da fe.</w:t>
      </w:r>
    </w:p>
    <w:p w:rsidR="008C5144" w:rsidRPr="00F87C8F" w:rsidRDefault="008C5144" w:rsidP="0025741E">
      <w:pPr>
        <w:pStyle w:val="NormalWeb"/>
        <w:spacing w:line="276" w:lineRule="auto"/>
        <w:ind w:right="49"/>
        <w:contextualSpacing/>
        <w:mirrorIndents/>
        <w:jc w:val="both"/>
        <w:rPr>
          <w:rFonts w:ascii="Arial" w:hAnsi="Arial" w:cs="Arial"/>
        </w:rPr>
      </w:pPr>
    </w:p>
    <w:tbl>
      <w:tblPr>
        <w:tblW w:w="8810" w:type="dxa"/>
        <w:tblInd w:w="-426" w:type="dxa"/>
        <w:tblLayout w:type="fixed"/>
        <w:tblLook w:val="04A0" w:firstRow="1" w:lastRow="0" w:firstColumn="1" w:lastColumn="0" w:noHBand="0" w:noVBand="1"/>
      </w:tblPr>
      <w:tblGrid>
        <w:gridCol w:w="4380"/>
        <w:gridCol w:w="4430"/>
      </w:tblGrid>
      <w:tr w:rsidR="00D70EFD" w:rsidRPr="00F87C8F" w:rsidTr="00F6286E">
        <w:trPr>
          <w:trHeight w:val="1092"/>
        </w:trPr>
        <w:tc>
          <w:tcPr>
            <w:tcW w:w="8810" w:type="dxa"/>
            <w:gridSpan w:val="2"/>
            <w:hideMark/>
          </w:tcPr>
          <w:p w:rsidR="00D70EFD" w:rsidRPr="00F87C8F" w:rsidRDefault="00D70EFD" w:rsidP="0025741E">
            <w:pPr>
              <w:pStyle w:val="NormalWeb"/>
              <w:spacing w:line="276" w:lineRule="auto"/>
              <w:ind w:right="49"/>
              <w:contextualSpacing/>
              <w:mirrorIndents/>
              <w:jc w:val="center"/>
              <w:rPr>
                <w:rFonts w:ascii="Arial" w:hAnsi="Arial" w:cs="Arial"/>
                <w:b/>
                <w:bCs/>
                <w:lang w:val="es-ES"/>
              </w:rPr>
            </w:pPr>
            <w:r w:rsidRPr="00F87C8F">
              <w:rPr>
                <w:rFonts w:ascii="Arial" w:hAnsi="Arial" w:cs="Arial"/>
                <w:b/>
                <w:bCs/>
                <w:lang w:val="es-ES"/>
              </w:rPr>
              <w:t>MAGISTRADO PRESIDENTE</w:t>
            </w:r>
          </w:p>
          <w:p w:rsidR="00D70EFD" w:rsidRDefault="00D70EFD" w:rsidP="0025741E">
            <w:pPr>
              <w:pStyle w:val="NormalWeb"/>
              <w:spacing w:line="276" w:lineRule="auto"/>
              <w:ind w:right="49"/>
              <w:contextualSpacing/>
              <w:mirrorIndents/>
              <w:jc w:val="center"/>
              <w:rPr>
                <w:rFonts w:ascii="Arial" w:hAnsi="Arial" w:cs="Arial"/>
                <w:b/>
                <w:bCs/>
                <w:lang w:val="es-ES"/>
              </w:rPr>
            </w:pPr>
          </w:p>
          <w:p w:rsidR="008C5144" w:rsidRPr="00F87C8F" w:rsidRDefault="008C5144" w:rsidP="0025741E">
            <w:pPr>
              <w:pStyle w:val="NormalWeb"/>
              <w:spacing w:line="276" w:lineRule="auto"/>
              <w:ind w:right="49"/>
              <w:contextualSpacing/>
              <w:mirrorIndents/>
              <w:jc w:val="center"/>
              <w:rPr>
                <w:rFonts w:ascii="Arial" w:hAnsi="Arial" w:cs="Arial"/>
                <w:b/>
                <w:bCs/>
                <w:lang w:val="es-ES"/>
              </w:rPr>
            </w:pPr>
          </w:p>
          <w:p w:rsidR="00D70EFD" w:rsidRPr="00F87C8F" w:rsidRDefault="00D70EFD" w:rsidP="0025741E">
            <w:pPr>
              <w:pStyle w:val="NormalWeb"/>
              <w:spacing w:line="276" w:lineRule="auto"/>
              <w:ind w:right="49"/>
              <w:contextualSpacing/>
              <w:mirrorIndents/>
              <w:jc w:val="center"/>
              <w:rPr>
                <w:rFonts w:ascii="Arial" w:hAnsi="Arial" w:cs="Arial"/>
                <w:b/>
                <w:bCs/>
                <w:lang w:val="es-ES"/>
              </w:rPr>
            </w:pPr>
            <w:r w:rsidRPr="00F87C8F">
              <w:rPr>
                <w:rFonts w:ascii="Arial" w:hAnsi="Arial" w:cs="Arial"/>
                <w:b/>
                <w:bCs/>
                <w:lang w:val="es-ES"/>
              </w:rPr>
              <w:t>HÉCTOR SALVADOR HERNÁNDEZ GALLEGOS</w:t>
            </w:r>
          </w:p>
          <w:p w:rsidR="00D70EFD" w:rsidRDefault="00D70EFD" w:rsidP="0025741E">
            <w:pPr>
              <w:pStyle w:val="NormalWeb"/>
              <w:spacing w:line="276" w:lineRule="auto"/>
              <w:ind w:right="49"/>
              <w:contextualSpacing/>
              <w:mirrorIndents/>
              <w:jc w:val="center"/>
              <w:rPr>
                <w:rFonts w:ascii="Arial" w:hAnsi="Arial" w:cs="Arial"/>
                <w:b/>
                <w:bCs/>
                <w:lang w:val="es-ES"/>
              </w:rPr>
            </w:pPr>
          </w:p>
          <w:p w:rsidR="008C5144" w:rsidRPr="00F87C8F" w:rsidRDefault="008C5144" w:rsidP="0025741E">
            <w:pPr>
              <w:pStyle w:val="NormalWeb"/>
              <w:spacing w:line="276" w:lineRule="auto"/>
              <w:ind w:right="49"/>
              <w:contextualSpacing/>
              <w:mirrorIndents/>
              <w:jc w:val="center"/>
              <w:rPr>
                <w:rFonts w:ascii="Arial" w:hAnsi="Arial" w:cs="Arial"/>
                <w:b/>
                <w:bCs/>
                <w:lang w:val="es-ES"/>
              </w:rPr>
            </w:pPr>
          </w:p>
          <w:p w:rsidR="00D70EFD" w:rsidRPr="00F87C8F" w:rsidRDefault="00D70EFD" w:rsidP="0025741E">
            <w:pPr>
              <w:pStyle w:val="NormalWeb"/>
              <w:spacing w:line="276" w:lineRule="auto"/>
              <w:ind w:right="49"/>
              <w:contextualSpacing/>
              <w:mirrorIndents/>
              <w:jc w:val="center"/>
              <w:rPr>
                <w:rFonts w:ascii="Arial" w:hAnsi="Arial" w:cs="Arial"/>
                <w:b/>
                <w:bCs/>
                <w:lang w:val="es-ES"/>
              </w:rPr>
            </w:pPr>
          </w:p>
        </w:tc>
      </w:tr>
      <w:tr w:rsidR="00D70EFD" w:rsidRPr="00F87C8F" w:rsidTr="00F6286E">
        <w:tblPrEx>
          <w:tblLook w:val="0000" w:firstRow="0" w:lastRow="0" w:firstColumn="0" w:lastColumn="0" w:noHBand="0" w:noVBand="0"/>
        </w:tblPrEx>
        <w:trPr>
          <w:trHeight w:val="1434"/>
        </w:trPr>
        <w:tc>
          <w:tcPr>
            <w:tcW w:w="4380" w:type="dxa"/>
          </w:tcPr>
          <w:p w:rsidR="00D70EFD" w:rsidRPr="00F87C8F" w:rsidRDefault="00D70EFD" w:rsidP="0025741E">
            <w:pPr>
              <w:pStyle w:val="NormalWeb"/>
              <w:spacing w:line="276" w:lineRule="auto"/>
              <w:ind w:right="49"/>
              <w:contextualSpacing/>
              <w:mirrorIndents/>
              <w:jc w:val="center"/>
              <w:rPr>
                <w:rFonts w:ascii="Arial" w:hAnsi="Arial" w:cs="Arial"/>
                <w:b/>
                <w:bCs/>
              </w:rPr>
            </w:pPr>
            <w:r w:rsidRPr="00F87C8F">
              <w:rPr>
                <w:rFonts w:ascii="Arial" w:hAnsi="Arial" w:cs="Arial"/>
                <w:b/>
                <w:bCs/>
              </w:rPr>
              <w:t>MAGISTRADA</w:t>
            </w:r>
          </w:p>
          <w:p w:rsidR="00D70EFD" w:rsidRPr="00F87C8F" w:rsidRDefault="00D70EFD" w:rsidP="0025741E">
            <w:pPr>
              <w:pStyle w:val="NormalWeb"/>
              <w:spacing w:line="276" w:lineRule="auto"/>
              <w:ind w:right="49"/>
              <w:contextualSpacing/>
              <w:mirrorIndents/>
              <w:jc w:val="center"/>
              <w:rPr>
                <w:rFonts w:ascii="Arial" w:hAnsi="Arial" w:cs="Arial"/>
                <w:b/>
                <w:bCs/>
              </w:rPr>
            </w:pPr>
          </w:p>
          <w:p w:rsidR="00D70EFD" w:rsidRPr="00F87C8F" w:rsidRDefault="00D70EFD" w:rsidP="0025741E">
            <w:pPr>
              <w:pStyle w:val="NormalWeb"/>
              <w:spacing w:line="276" w:lineRule="auto"/>
              <w:ind w:right="49"/>
              <w:contextualSpacing/>
              <w:mirrorIndents/>
              <w:jc w:val="center"/>
              <w:rPr>
                <w:rFonts w:ascii="Arial" w:hAnsi="Arial" w:cs="Arial"/>
                <w:b/>
                <w:bCs/>
              </w:rPr>
            </w:pPr>
          </w:p>
          <w:p w:rsidR="0025741E" w:rsidRDefault="00D70EFD" w:rsidP="0025741E">
            <w:pPr>
              <w:pStyle w:val="NormalWeb"/>
              <w:spacing w:line="276" w:lineRule="auto"/>
              <w:ind w:right="49"/>
              <w:contextualSpacing/>
              <w:mirrorIndents/>
              <w:jc w:val="center"/>
              <w:rPr>
                <w:rFonts w:ascii="Arial" w:hAnsi="Arial" w:cs="Arial"/>
                <w:b/>
                <w:bCs/>
                <w:lang w:val="es-ES"/>
              </w:rPr>
            </w:pPr>
            <w:r w:rsidRPr="00F87C8F">
              <w:rPr>
                <w:rFonts w:ascii="Arial" w:hAnsi="Arial" w:cs="Arial"/>
                <w:b/>
                <w:bCs/>
                <w:lang w:val="es-ES"/>
              </w:rPr>
              <w:t xml:space="preserve">CLAUDIA ELOISA DÍAZ </w:t>
            </w:r>
          </w:p>
          <w:p w:rsidR="00D70EFD" w:rsidRPr="00F87C8F" w:rsidRDefault="00D70EFD" w:rsidP="0025741E">
            <w:pPr>
              <w:pStyle w:val="NormalWeb"/>
              <w:spacing w:line="276" w:lineRule="auto"/>
              <w:ind w:right="49"/>
              <w:contextualSpacing/>
              <w:mirrorIndents/>
              <w:jc w:val="center"/>
              <w:rPr>
                <w:rFonts w:ascii="Arial" w:hAnsi="Arial" w:cs="Arial"/>
                <w:b/>
                <w:bCs/>
              </w:rPr>
            </w:pPr>
            <w:r w:rsidRPr="00F87C8F">
              <w:rPr>
                <w:rFonts w:ascii="Arial" w:hAnsi="Arial" w:cs="Arial"/>
                <w:b/>
                <w:bCs/>
                <w:lang w:val="es-ES"/>
              </w:rPr>
              <w:t>DE LEÓN GONZÁLEZ</w:t>
            </w:r>
          </w:p>
        </w:tc>
        <w:tc>
          <w:tcPr>
            <w:tcW w:w="4430" w:type="dxa"/>
          </w:tcPr>
          <w:p w:rsidR="00D70EFD" w:rsidRPr="00F87C8F" w:rsidRDefault="00D70EFD" w:rsidP="0025741E">
            <w:pPr>
              <w:pStyle w:val="NormalWeb"/>
              <w:spacing w:line="276" w:lineRule="auto"/>
              <w:ind w:right="49"/>
              <w:contextualSpacing/>
              <w:mirrorIndents/>
              <w:jc w:val="center"/>
              <w:rPr>
                <w:rFonts w:ascii="Arial" w:hAnsi="Arial" w:cs="Arial"/>
                <w:b/>
                <w:bCs/>
              </w:rPr>
            </w:pPr>
            <w:r w:rsidRPr="00F87C8F">
              <w:rPr>
                <w:rFonts w:ascii="Arial" w:hAnsi="Arial" w:cs="Arial"/>
                <w:b/>
                <w:bCs/>
              </w:rPr>
              <w:t>MAGISTRADO</w:t>
            </w:r>
          </w:p>
          <w:p w:rsidR="00D70EFD" w:rsidRPr="00F87C8F" w:rsidRDefault="00D70EFD" w:rsidP="0025741E">
            <w:pPr>
              <w:pStyle w:val="NormalWeb"/>
              <w:spacing w:line="276" w:lineRule="auto"/>
              <w:ind w:right="49"/>
              <w:contextualSpacing/>
              <w:mirrorIndents/>
              <w:jc w:val="center"/>
              <w:rPr>
                <w:rFonts w:ascii="Arial" w:hAnsi="Arial" w:cs="Arial"/>
                <w:b/>
                <w:bCs/>
              </w:rPr>
            </w:pPr>
          </w:p>
          <w:p w:rsidR="00D70EFD" w:rsidRPr="00F87C8F" w:rsidRDefault="00D70EFD" w:rsidP="0025741E">
            <w:pPr>
              <w:pStyle w:val="NormalWeb"/>
              <w:spacing w:line="276" w:lineRule="auto"/>
              <w:ind w:right="49"/>
              <w:contextualSpacing/>
              <w:mirrorIndents/>
              <w:jc w:val="center"/>
              <w:rPr>
                <w:rFonts w:ascii="Arial" w:hAnsi="Arial" w:cs="Arial"/>
                <w:b/>
                <w:bCs/>
              </w:rPr>
            </w:pPr>
          </w:p>
          <w:p w:rsidR="0025741E" w:rsidRDefault="00D70EFD" w:rsidP="0025741E">
            <w:pPr>
              <w:pStyle w:val="NormalWeb"/>
              <w:spacing w:line="276" w:lineRule="auto"/>
              <w:ind w:right="49"/>
              <w:contextualSpacing/>
              <w:mirrorIndents/>
              <w:jc w:val="center"/>
              <w:rPr>
                <w:rFonts w:ascii="Arial" w:hAnsi="Arial" w:cs="Arial"/>
                <w:b/>
                <w:bCs/>
              </w:rPr>
            </w:pPr>
            <w:r w:rsidRPr="00F87C8F">
              <w:rPr>
                <w:rFonts w:ascii="Arial" w:hAnsi="Arial" w:cs="Arial"/>
                <w:b/>
                <w:bCs/>
              </w:rPr>
              <w:t xml:space="preserve">JORGE RAMÓN DÍAZ </w:t>
            </w:r>
          </w:p>
          <w:p w:rsidR="00D70EFD" w:rsidRPr="00F87C8F" w:rsidRDefault="00D70EFD" w:rsidP="0025741E">
            <w:pPr>
              <w:pStyle w:val="NormalWeb"/>
              <w:spacing w:line="276" w:lineRule="auto"/>
              <w:ind w:right="49"/>
              <w:contextualSpacing/>
              <w:mirrorIndents/>
              <w:jc w:val="center"/>
              <w:rPr>
                <w:rFonts w:ascii="Arial" w:hAnsi="Arial" w:cs="Arial"/>
                <w:b/>
                <w:bCs/>
              </w:rPr>
            </w:pPr>
            <w:r w:rsidRPr="00F87C8F">
              <w:rPr>
                <w:rFonts w:ascii="Arial" w:hAnsi="Arial" w:cs="Arial"/>
                <w:b/>
                <w:bCs/>
              </w:rPr>
              <w:t>DE LEÓN</w:t>
            </w:r>
            <w:r w:rsidR="0025741E">
              <w:rPr>
                <w:rFonts w:ascii="Arial" w:hAnsi="Arial" w:cs="Arial"/>
                <w:b/>
                <w:bCs/>
              </w:rPr>
              <w:t xml:space="preserve"> </w:t>
            </w:r>
            <w:r w:rsidRPr="00F87C8F">
              <w:rPr>
                <w:rFonts w:ascii="Arial" w:hAnsi="Arial" w:cs="Arial"/>
                <w:b/>
                <w:bCs/>
              </w:rPr>
              <w:t>GUTIÉRREZ</w:t>
            </w:r>
          </w:p>
          <w:p w:rsidR="00D70EFD" w:rsidRPr="00F87C8F" w:rsidRDefault="00D70EFD" w:rsidP="0025741E">
            <w:pPr>
              <w:pStyle w:val="NormalWeb"/>
              <w:spacing w:line="276" w:lineRule="auto"/>
              <w:ind w:right="49"/>
              <w:contextualSpacing/>
              <w:mirrorIndents/>
              <w:jc w:val="center"/>
              <w:rPr>
                <w:rFonts w:ascii="Arial" w:hAnsi="Arial" w:cs="Arial"/>
                <w:b/>
                <w:bCs/>
              </w:rPr>
            </w:pPr>
          </w:p>
        </w:tc>
      </w:tr>
      <w:tr w:rsidR="00D70EFD" w:rsidRPr="00F87C8F" w:rsidTr="00F6286E">
        <w:tblPrEx>
          <w:tblLook w:val="0000" w:firstRow="0" w:lastRow="0" w:firstColumn="0" w:lastColumn="0" w:noHBand="0" w:noVBand="0"/>
        </w:tblPrEx>
        <w:trPr>
          <w:trHeight w:val="852"/>
        </w:trPr>
        <w:tc>
          <w:tcPr>
            <w:tcW w:w="8810" w:type="dxa"/>
            <w:gridSpan w:val="2"/>
          </w:tcPr>
          <w:p w:rsidR="00D70EFD" w:rsidRDefault="00D70EFD" w:rsidP="0025741E">
            <w:pPr>
              <w:pStyle w:val="NormalWeb"/>
              <w:spacing w:line="276" w:lineRule="auto"/>
              <w:ind w:right="49"/>
              <w:contextualSpacing/>
              <w:mirrorIndents/>
              <w:jc w:val="center"/>
              <w:rPr>
                <w:rFonts w:ascii="Arial" w:hAnsi="Arial" w:cs="Arial"/>
                <w:b/>
                <w:bCs/>
              </w:rPr>
            </w:pPr>
          </w:p>
          <w:p w:rsidR="008C5144" w:rsidRPr="00F87C8F" w:rsidRDefault="008C5144" w:rsidP="0025741E">
            <w:pPr>
              <w:pStyle w:val="NormalWeb"/>
              <w:spacing w:line="276" w:lineRule="auto"/>
              <w:ind w:right="49"/>
              <w:contextualSpacing/>
              <w:mirrorIndents/>
              <w:jc w:val="center"/>
              <w:rPr>
                <w:rFonts w:ascii="Arial" w:hAnsi="Arial" w:cs="Arial"/>
                <w:b/>
                <w:bCs/>
              </w:rPr>
            </w:pPr>
          </w:p>
          <w:p w:rsidR="00D70EFD" w:rsidRPr="00F87C8F" w:rsidRDefault="00D70EFD" w:rsidP="0025741E">
            <w:pPr>
              <w:pStyle w:val="NormalWeb"/>
              <w:spacing w:line="276" w:lineRule="auto"/>
              <w:ind w:right="49"/>
              <w:contextualSpacing/>
              <w:mirrorIndents/>
              <w:jc w:val="center"/>
              <w:rPr>
                <w:rFonts w:ascii="Arial" w:hAnsi="Arial" w:cs="Arial"/>
                <w:b/>
                <w:bCs/>
              </w:rPr>
            </w:pPr>
            <w:r w:rsidRPr="00F87C8F">
              <w:rPr>
                <w:rFonts w:ascii="Arial" w:hAnsi="Arial" w:cs="Arial"/>
                <w:b/>
                <w:bCs/>
              </w:rPr>
              <w:t>SECRETARIO GENERAL DE ACUERDOS</w:t>
            </w:r>
          </w:p>
          <w:p w:rsidR="00D70EFD" w:rsidRDefault="00D70EFD" w:rsidP="0025741E">
            <w:pPr>
              <w:pStyle w:val="NormalWeb"/>
              <w:spacing w:line="276" w:lineRule="auto"/>
              <w:ind w:right="49"/>
              <w:contextualSpacing/>
              <w:mirrorIndents/>
              <w:jc w:val="center"/>
              <w:rPr>
                <w:rFonts w:ascii="Arial" w:hAnsi="Arial" w:cs="Arial"/>
                <w:b/>
                <w:bCs/>
                <w:lang w:val="es-ES"/>
              </w:rPr>
            </w:pPr>
          </w:p>
          <w:p w:rsidR="00D70EFD" w:rsidRPr="00F87C8F" w:rsidRDefault="00D70EFD" w:rsidP="0025741E">
            <w:pPr>
              <w:pStyle w:val="NormalWeb"/>
              <w:spacing w:line="276" w:lineRule="auto"/>
              <w:ind w:right="49"/>
              <w:contextualSpacing/>
              <w:mirrorIndents/>
              <w:jc w:val="center"/>
              <w:rPr>
                <w:rFonts w:ascii="Arial" w:hAnsi="Arial" w:cs="Arial"/>
                <w:b/>
                <w:bCs/>
                <w:lang w:val="es-ES"/>
              </w:rPr>
            </w:pPr>
            <w:r w:rsidRPr="00F87C8F">
              <w:rPr>
                <w:rFonts w:ascii="Arial" w:hAnsi="Arial" w:cs="Arial"/>
                <w:b/>
                <w:bCs/>
                <w:lang w:val="es-ES"/>
              </w:rPr>
              <w:t>JESÚS OCIEL BAENA SAUCEDO</w:t>
            </w:r>
          </w:p>
        </w:tc>
      </w:tr>
      <w:bookmarkEnd w:id="1"/>
    </w:tbl>
    <w:p w:rsidR="00476516" w:rsidRPr="00F87C8F" w:rsidRDefault="00476516" w:rsidP="0025741E">
      <w:pPr>
        <w:ind w:right="49"/>
        <w:rPr>
          <w:rFonts w:ascii="Arial" w:hAnsi="Arial" w:cs="Arial"/>
          <w:sz w:val="24"/>
          <w:szCs w:val="24"/>
        </w:rPr>
      </w:pPr>
    </w:p>
    <w:sectPr w:rsidR="00476516" w:rsidRPr="00F87C8F" w:rsidSect="0025741E">
      <w:headerReference w:type="default" r:id="rId10"/>
      <w:endnotePr>
        <w:numFmt w:val="decimal"/>
      </w:endnotePr>
      <w:pgSz w:w="12240" w:h="20160" w:code="5"/>
      <w:pgMar w:top="3119" w:right="1701"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2CB" w:rsidRDefault="00E052CB" w:rsidP="00D70EFD">
      <w:pPr>
        <w:spacing w:after="0" w:line="240" w:lineRule="auto"/>
      </w:pPr>
      <w:r>
        <w:separator/>
      </w:r>
    </w:p>
  </w:endnote>
  <w:endnote w:type="continuationSeparator" w:id="0">
    <w:p w:rsidR="00E052CB" w:rsidRDefault="00E052CB" w:rsidP="00D7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2CB" w:rsidRDefault="00E052CB" w:rsidP="00D70EFD">
      <w:pPr>
        <w:spacing w:after="0" w:line="240" w:lineRule="auto"/>
      </w:pPr>
      <w:r>
        <w:separator/>
      </w:r>
    </w:p>
  </w:footnote>
  <w:footnote w:type="continuationSeparator" w:id="0">
    <w:p w:rsidR="00E052CB" w:rsidRDefault="00E052CB" w:rsidP="00D70EFD">
      <w:pPr>
        <w:spacing w:after="0" w:line="240" w:lineRule="auto"/>
      </w:pPr>
      <w:r>
        <w:continuationSeparator/>
      </w:r>
    </w:p>
  </w:footnote>
  <w:footnote w:id="1">
    <w:p w:rsidR="009A6B70" w:rsidRPr="007B4C5D" w:rsidRDefault="009A6B70" w:rsidP="009A6B70">
      <w:pPr>
        <w:pStyle w:val="Textonotapie"/>
        <w:jc w:val="both"/>
        <w:rPr>
          <w:rFonts w:ascii="Arial Nova" w:hAnsi="Arial Nova"/>
          <w:sz w:val="16"/>
          <w:szCs w:val="16"/>
        </w:rPr>
      </w:pPr>
      <w:r w:rsidRPr="007B4C5D">
        <w:rPr>
          <w:rStyle w:val="Refdenotaalpie"/>
          <w:rFonts w:ascii="Arial Nova" w:hAnsi="Arial Nova"/>
          <w:sz w:val="16"/>
          <w:szCs w:val="16"/>
        </w:rPr>
        <w:footnoteRef/>
      </w:r>
      <w:r w:rsidRPr="007B4C5D">
        <w:rPr>
          <w:rFonts w:ascii="Arial Nova" w:hAnsi="Arial Nova"/>
          <w:sz w:val="16"/>
          <w:szCs w:val="16"/>
        </w:rPr>
        <w:t xml:space="preserve"> Consultable en la URL: </w:t>
      </w:r>
      <w:hyperlink r:id="rId1" w:history="1">
        <w:r w:rsidRPr="007B4C5D">
          <w:rPr>
            <w:rStyle w:val="Hipervnculo"/>
            <w:rFonts w:ascii="Arial Nova" w:hAnsi="Arial Nova"/>
            <w:sz w:val="16"/>
            <w:szCs w:val="16"/>
          </w:rPr>
          <w:t>https://morena.si/wp-content/uploads/2019/01/CONVOCATORIA-Aguascalientes-Final2.pdf</w:t>
        </w:r>
      </w:hyperlink>
    </w:p>
  </w:footnote>
  <w:footnote w:id="2">
    <w:p w:rsidR="009A6B70" w:rsidRPr="007B4C5D" w:rsidRDefault="009A6B70" w:rsidP="009A6B70">
      <w:pPr>
        <w:pStyle w:val="Textonotapie"/>
        <w:jc w:val="both"/>
        <w:rPr>
          <w:rFonts w:ascii="Arial Nova" w:hAnsi="Arial Nova"/>
          <w:sz w:val="16"/>
          <w:szCs w:val="16"/>
        </w:rPr>
      </w:pPr>
      <w:r w:rsidRPr="007B4C5D">
        <w:rPr>
          <w:rStyle w:val="Refdenotaalpie"/>
          <w:rFonts w:ascii="Arial Nova" w:hAnsi="Arial Nova"/>
          <w:sz w:val="16"/>
          <w:szCs w:val="16"/>
        </w:rPr>
        <w:footnoteRef/>
      </w:r>
      <w:r w:rsidRPr="007B4C5D">
        <w:rPr>
          <w:rFonts w:ascii="Arial Nova" w:hAnsi="Arial Nova"/>
          <w:sz w:val="16"/>
          <w:szCs w:val="16"/>
        </w:rPr>
        <w:t xml:space="preserve"> Consultable en la URL: </w:t>
      </w:r>
      <w:hyperlink r:id="rId2" w:history="1">
        <w:r w:rsidRPr="007B4C5D">
          <w:rPr>
            <w:rStyle w:val="Hipervnculo"/>
            <w:rFonts w:ascii="Arial Nova" w:hAnsi="Arial Nova"/>
            <w:sz w:val="16"/>
            <w:szCs w:val="16"/>
          </w:rPr>
          <w:t>https://morena.si/wp-content/uploads/2019/02/FE-DE-ERRATAS-AGUASCALIENTES.pdf</w:t>
        </w:r>
      </w:hyperlink>
    </w:p>
  </w:footnote>
  <w:footnote w:id="3">
    <w:p w:rsidR="009A6B70" w:rsidRPr="007B4C5D" w:rsidRDefault="009A6B70" w:rsidP="009A6B70">
      <w:pPr>
        <w:pStyle w:val="Textonotapie"/>
        <w:jc w:val="both"/>
        <w:rPr>
          <w:rFonts w:ascii="Arial Nova" w:hAnsi="Arial Nova"/>
          <w:sz w:val="16"/>
          <w:szCs w:val="16"/>
        </w:rPr>
      </w:pPr>
      <w:r w:rsidRPr="007B4C5D">
        <w:rPr>
          <w:rStyle w:val="Refdenotaalpie"/>
          <w:rFonts w:ascii="Arial Nova" w:hAnsi="Arial Nova"/>
          <w:sz w:val="16"/>
          <w:szCs w:val="16"/>
        </w:rPr>
        <w:footnoteRef/>
      </w:r>
      <w:r w:rsidRPr="007B4C5D">
        <w:rPr>
          <w:rFonts w:ascii="Arial Nova" w:hAnsi="Arial Nova"/>
          <w:sz w:val="16"/>
          <w:szCs w:val="16"/>
        </w:rPr>
        <w:t xml:space="preserve"> </w:t>
      </w:r>
      <w:hyperlink r:id="rId3" w:history="1">
        <w:r w:rsidRPr="007B4C5D">
          <w:rPr>
            <w:rStyle w:val="Hipervnculo"/>
            <w:rFonts w:ascii="Arial Nova" w:hAnsi="Arial Nova"/>
            <w:sz w:val="16"/>
            <w:szCs w:val="16"/>
          </w:rPr>
          <w:t>https://morena.si/wp-content/uploads/2019/03/DICTAMEN-DE-APROBACI%C3%93N-DE-PRESIDENTES-MUNICIPALES-1.pdf</w:t>
        </w:r>
      </w:hyperlink>
    </w:p>
  </w:footnote>
  <w:footnote w:id="4">
    <w:p w:rsidR="009A6B70" w:rsidRPr="007B4C5D" w:rsidRDefault="009A6B70" w:rsidP="009A6B70">
      <w:pPr>
        <w:pStyle w:val="Textonotapie"/>
        <w:jc w:val="both"/>
        <w:rPr>
          <w:rFonts w:ascii="Arial Nova" w:hAnsi="Arial Nova"/>
          <w:sz w:val="16"/>
          <w:szCs w:val="16"/>
        </w:rPr>
      </w:pPr>
      <w:r w:rsidRPr="007B4C5D">
        <w:rPr>
          <w:rStyle w:val="Refdenotaalpie"/>
          <w:rFonts w:ascii="Arial Nova" w:hAnsi="Arial Nova"/>
          <w:sz w:val="16"/>
          <w:szCs w:val="16"/>
        </w:rPr>
        <w:footnoteRef/>
      </w:r>
      <w:r w:rsidRPr="007B4C5D">
        <w:rPr>
          <w:rFonts w:ascii="Arial Nova" w:hAnsi="Arial Nova"/>
          <w:sz w:val="16"/>
          <w:szCs w:val="16"/>
        </w:rPr>
        <w:t xml:space="preserve"> Consultable en la URL: </w:t>
      </w:r>
      <w:hyperlink r:id="rId4" w:history="1">
        <w:r w:rsidRPr="007B4C5D">
          <w:rPr>
            <w:rStyle w:val="Hipervnculo"/>
            <w:rFonts w:ascii="Arial Nova" w:hAnsi="Arial Nova"/>
            <w:sz w:val="16"/>
            <w:szCs w:val="16"/>
          </w:rPr>
          <w:t>https://morena.si/wp-content/uploads/2019/03/FE-DE-ERRATAS-DICTAMEN-DE-APROBACI%C3%93N-1.pdf</w:t>
        </w:r>
      </w:hyperlink>
    </w:p>
  </w:footnote>
  <w:footnote w:id="5">
    <w:p w:rsidR="00476516" w:rsidRPr="00A9780A" w:rsidRDefault="00476516" w:rsidP="00A9780A">
      <w:pPr>
        <w:pStyle w:val="Textonotapie"/>
        <w:rPr>
          <w:rFonts w:ascii="Arial Nova" w:hAnsi="Arial Nova"/>
          <w:sz w:val="16"/>
          <w:szCs w:val="16"/>
        </w:rPr>
      </w:pPr>
      <w:r w:rsidRPr="00A9780A">
        <w:rPr>
          <w:rStyle w:val="Refdenotaalpie"/>
          <w:rFonts w:ascii="Arial Nova" w:hAnsi="Arial Nova"/>
          <w:sz w:val="16"/>
          <w:szCs w:val="16"/>
        </w:rPr>
        <w:footnoteRef/>
      </w:r>
      <w:r w:rsidRPr="00A9780A">
        <w:rPr>
          <w:rFonts w:ascii="Arial Nova" w:hAnsi="Arial Nova"/>
          <w:sz w:val="16"/>
          <w:szCs w:val="16"/>
        </w:rPr>
        <w:t xml:space="preserve"> Consultable en la URL: </w:t>
      </w:r>
      <w:hyperlink r:id="rId5" w:history="1">
        <w:r w:rsidRPr="00A9780A">
          <w:rPr>
            <w:rStyle w:val="Hipervnculo"/>
            <w:rFonts w:ascii="Arial Nova" w:hAnsi="Arial Nova"/>
            <w:sz w:val="16"/>
            <w:szCs w:val="16"/>
          </w:rPr>
          <w:t>http://sief.te.gob.mx/iuse/tesisjur.aspx?idtesis=3/2018&amp;tpoBusqueda=S&amp;sWord=3/2018</w:t>
        </w:r>
      </w:hyperlink>
    </w:p>
  </w:footnote>
  <w:footnote w:id="6">
    <w:p w:rsidR="00476516" w:rsidRPr="00A9780A" w:rsidRDefault="00476516" w:rsidP="00A9780A">
      <w:pPr>
        <w:pStyle w:val="Textonotapie"/>
        <w:jc w:val="both"/>
        <w:rPr>
          <w:rFonts w:ascii="Arial Nova" w:hAnsi="Arial Nova"/>
          <w:sz w:val="16"/>
          <w:szCs w:val="16"/>
        </w:rPr>
      </w:pPr>
      <w:r w:rsidRPr="00A9780A">
        <w:rPr>
          <w:rStyle w:val="Refdenotaalpie"/>
          <w:rFonts w:ascii="Arial Nova" w:hAnsi="Arial Nova"/>
          <w:sz w:val="16"/>
          <w:szCs w:val="16"/>
        </w:rPr>
        <w:footnoteRef/>
      </w:r>
      <w:r w:rsidRPr="00A9780A">
        <w:rPr>
          <w:rFonts w:ascii="Arial Nova" w:hAnsi="Arial Nova"/>
          <w:sz w:val="16"/>
          <w:szCs w:val="16"/>
        </w:rPr>
        <w:t xml:space="preserve"> Consultable en Compilación 1997-2013, “Jurisprudencia y Tesis en Materia Electoral”, Volumen I, intitulado “Jurisprudencia”, páginas 447-449.</w:t>
      </w:r>
    </w:p>
  </w:footnote>
  <w:footnote w:id="7">
    <w:p w:rsidR="002E403C" w:rsidRPr="00A9780A" w:rsidRDefault="002E403C" w:rsidP="00A9780A">
      <w:pPr>
        <w:spacing w:line="240" w:lineRule="auto"/>
        <w:ind w:right="-283"/>
        <w:rPr>
          <w:rFonts w:ascii="Arial Nova" w:hAnsi="Arial Nova" w:cs="Arial"/>
          <w:sz w:val="16"/>
          <w:szCs w:val="16"/>
        </w:rPr>
      </w:pPr>
      <w:r w:rsidRPr="00A9780A">
        <w:rPr>
          <w:rStyle w:val="Refdenotaalpie"/>
          <w:rFonts w:ascii="Arial Nova" w:hAnsi="Arial Nova" w:cs="Arial"/>
          <w:sz w:val="16"/>
          <w:szCs w:val="16"/>
        </w:rPr>
        <w:footnoteRef/>
      </w:r>
      <w:r w:rsidRPr="00A9780A">
        <w:rPr>
          <w:rFonts w:ascii="Arial Nova" w:hAnsi="Arial Nova" w:cs="Arial"/>
          <w:sz w:val="16"/>
          <w:szCs w:val="16"/>
        </w:rPr>
        <w:t xml:space="preserve"> Sirve de apoyo la jurisprudencia 23/2000 y 9/2001, de rubros: </w:t>
      </w:r>
      <w:r w:rsidRPr="00A9780A">
        <w:rPr>
          <w:rFonts w:ascii="Arial Nova" w:hAnsi="Arial Nova" w:cs="Arial"/>
          <w:b/>
          <w:i/>
          <w:sz w:val="16"/>
          <w:szCs w:val="16"/>
        </w:rPr>
        <w:t>“DEFINITIVIDAD Y FIRMEZA CONSTITUYEN UN SOLO REQUISITO DE PROCEDIBILIDAD DEL JUICIO DE REVISIÓN CONSTITUCIONAL ELECTORAL” y “DEFINITIVIDAD Y FIRMEZA. SI EL AGOTAMIENTO DE LOS MEDIOS IMPUGNATIVOS ORDINARIOS IMPLICAN LA MERMA O EXTINCIÓN DE LA PRETENSIÓN DEL ACTOR, DEBE TENERSE POR CUMPLIDO EL REQUISITO.”</w:t>
      </w:r>
    </w:p>
  </w:footnote>
  <w:footnote w:id="8">
    <w:p w:rsidR="00702D23" w:rsidRPr="00A9780A" w:rsidRDefault="00702D23" w:rsidP="00702D23">
      <w:pPr>
        <w:pStyle w:val="Textonotapie"/>
        <w:rPr>
          <w:rFonts w:ascii="Arial Nova" w:hAnsi="Arial Nova" w:cs="Arial"/>
          <w:sz w:val="16"/>
          <w:szCs w:val="16"/>
        </w:rPr>
      </w:pPr>
      <w:r w:rsidRPr="00A9780A">
        <w:rPr>
          <w:rStyle w:val="Refdenotaalpie"/>
          <w:rFonts w:ascii="Arial Nova" w:hAnsi="Arial Nova" w:cs="Arial"/>
          <w:sz w:val="16"/>
          <w:szCs w:val="16"/>
        </w:rPr>
        <w:footnoteRef/>
      </w:r>
      <w:r w:rsidRPr="00A9780A">
        <w:rPr>
          <w:rFonts w:ascii="Arial Nova" w:hAnsi="Arial Nova" w:cs="Arial"/>
          <w:sz w:val="16"/>
          <w:szCs w:val="16"/>
        </w:rPr>
        <w:t xml:space="preserve"> De conformidad con el artículo 49, del Estatuto de MORENA.</w:t>
      </w:r>
    </w:p>
  </w:footnote>
  <w:footnote w:id="9">
    <w:p w:rsidR="00F6286E" w:rsidRPr="00A9780A" w:rsidRDefault="00F6286E" w:rsidP="00A9780A">
      <w:pPr>
        <w:pStyle w:val="Textonotapie"/>
        <w:rPr>
          <w:rFonts w:ascii="Arial Nova" w:hAnsi="Arial Nova" w:cs="Arial"/>
          <w:sz w:val="16"/>
          <w:szCs w:val="16"/>
        </w:rPr>
      </w:pPr>
      <w:r w:rsidRPr="00A9780A">
        <w:rPr>
          <w:rStyle w:val="Refdenotaalpie"/>
          <w:rFonts w:ascii="Arial Nova" w:hAnsi="Arial Nova" w:cs="Arial"/>
          <w:sz w:val="16"/>
          <w:szCs w:val="16"/>
        </w:rPr>
        <w:footnoteRef/>
      </w:r>
      <w:r w:rsidRPr="00A9780A">
        <w:rPr>
          <w:rFonts w:ascii="Arial Nova" w:hAnsi="Arial Nova" w:cs="Arial"/>
          <w:sz w:val="16"/>
          <w:szCs w:val="16"/>
        </w:rPr>
        <w:t xml:space="preserve"> Consultable en la </w:t>
      </w:r>
      <w:hyperlink r:id="rId6" w:history="1">
        <w:r w:rsidRPr="00A9780A">
          <w:rPr>
            <w:rStyle w:val="Hipervnculo"/>
            <w:rFonts w:ascii="Arial Nova" w:hAnsi="Arial Nova" w:cs="Arial"/>
            <w:sz w:val="16"/>
            <w:szCs w:val="16"/>
          </w:rPr>
          <w:t>http://sief.te.gob.mx/iuse/tesisjur.aspx?idtesis=5/2005&amp;tpoBusqueda=S&amp;sWord=5/2005</w:t>
        </w:r>
      </w:hyperlink>
    </w:p>
  </w:footnote>
  <w:footnote w:id="10">
    <w:p w:rsidR="00D81050" w:rsidRPr="00A9780A" w:rsidRDefault="00D81050">
      <w:pPr>
        <w:pStyle w:val="Textonotapie"/>
        <w:rPr>
          <w:rFonts w:ascii="Arial Nova" w:hAnsi="Arial Nova" w:cs="Arial"/>
          <w:sz w:val="16"/>
          <w:szCs w:val="16"/>
        </w:rPr>
      </w:pPr>
      <w:r w:rsidRPr="00A9780A">
        <w:rPr>
          <w:rStyle w:val="Refdenotaalpie"/>
          <w:rFonts w:ascii="Arial Nova" w:hAnsi="Arial Nova" w:cs="Arial"/>
          <w:sz w:val="16"/>
          <w:szCs w:val="16"/>
        </w:rPr>
        <w:footnoteRef/>
      </w:r>
      <w:r w:rsidRPr="00A9780A">
        <w:rPr>
          <w:rFonts w:ascii="Arial Nova" w:hAnsi="Arial Nova" w:cs="Arial"/>
          <w:sz w:val="16"/>
          <w:szCs w:val="16"/>
        </w:rPr>
        <w:t xml:space="preserve"> Consultable en la URL: </w:t>
      </w:r>
      <w:hyperlink r:id="rId7" w:history="1">
        <w:r w:rsidRPr="00A9780A">
          <w:rPr>
            <w:rStyle w:val="Hipervnculo"/>
            <w:rFonts w:ascii="Arial Nova" w:hAnsi="Arial Nova" w:cs="Arial"/>
            <w:sz w:val="16"/>
            <w:szCs w:val="16"/>
          </w:rPr>
          <w:t>https://www.te.gob.mx/EE/SM/2019/JDC/66/SM_2019_JDC_66-843656.pdf</w:t>
        </w:r>
      </w:hyperlink>
    </w:p>
  </w:footnote>
  <w:footnote w:id="11">
    <w:p w:rsidR="00D81050" w:rsidRPr="00A9780A" w:rsidRDefault="00D81050">
      <w:pPr>
        <w:pStyle w:val="Textonotapie"/>
        <w:rPr>
          <w:rFonts w:ascii="Arial Nova" w:hAnsi="Arial Nova"/>
          <w:sz w:val="16"/>
          <w:szCs w:val="16"/>
        </w:rPr>
      </w:pPr>
      <w:r w:rsidRPr="00A9780A">
        <w:rPr>
          <w:rStyle w:val="Refdenotaalpie"/>
          <w:rFonts w:ascii="Arial Nova" w:hAnsi="Arial Nova" w:cs="Arial"/>
          <w:sz w:val="16"/>
          <w:szCs w:val="16"/>
        </w:rPr>
        <w:footnoteRef/>
      </w:r>
      <w:r w:rsidRPr="00A9780A">
        <w:rPr>
          <w:rFonts w:ascii="Arial Nova" w:hAnsi="Arial Nova" w:cs="Arial"/>
          <w:sz w:val="16"/>
          <w:szCs w:val="16"/>
        </w:rPr>
        <w:t xml:space="preserve"> Consultable en la URL: </w:t>
      </w:r>
      <w:hyperlink r:id="rId8" w:history="1">
        <w:r w:rsidRPr="00A9780A">
          <w:rPr>
            <w:rStyle w:val="Hipervnculo"/>
            <w:rFonts w:ascii="Arial Nova" w:hAnsi="Arial Nova" w:cs="Arial"/>
            <w:sz w:val="16"/>
            <w:szCs w:val="16"/>
          </w:rPr>
          <w:t>https://www.te.gob.mx/EE/SM/2019/JDC/67/SM_2019_JDC_67-843599.pdf</w:t>
        </w:r>
      </w:hyperlink>
    </w:p>
  </w:footnote>
  <w:footnote w:id="12">
    <w:p w:rsidR="009A6B70" w:rsidRPr="00A9780A" w:rsidRDefault="009A6B70">
      <w:pPr>
        <w:pStyle w:val="Textonotapie"/>
        <w:rPr>
          <w:rFonts w:ascii="Arial Nova" w:hAnsi="Arial Nova"/>
          <w:sz w:val="16"/>
          <w:szCs w:val="16"/>
        </w:rPr>
      </w:pPr>
      <w:r w:rsidRPr="00A9780A">
        <w:rPr>
          <w:rStyle w:val="Refdenotaalpie"/>
          <w:rFonts w:ascii="Arial Nova" w:hAnsi="Arial Nova"/>
          <w:sz w:val="16"/>
          <w:szCs w:val="16"/>
        </w:rPr>
        <w:footnoteRef/>
      </w:r>
      <w:r w:rsidRPr="00A9780A">
        <w:rPr>
          <w:rFonts w:ascii="Arial Nova" w:hAnsi="Arial Nova"/>
          <w:sz w:val="16"/>
          <w:szCs w:val="16"/>
        </w:rPr>
        <w:t xml:space="preserve"> Consultable en la ULR: </w:t>
      </w:r>
      <w:hyperlink r:id="rId9" w:history="1">
        <w:r w:rsidRPr="00A9780A">
          <w:rPr>
            <w:rStyle w:val="Hipervnculo"/>
            <w:rFonts w:ascii="Arial Nova" w:hAnsi="Arial Nova"/>
            <w:sz w:val="16"/>
            <w:szCs w:val="16"/>
          </w:rPr>
          <w:t>https://www.te.gob.mx/EE/SM/2019/JDC/125/SM_2019_JDC_125-848679.pdf</w:t>
        </w:r>
      </w:hyperlink>
    </w:p>
  </w:footnote>
  <w:footnote w:id="13">
    <w:p w:rsidR="00AB0672" w:rsidRPr="00A9780A" w:rsidRDefault="00AB0672" w:rsidP="00332D9D">
      <w:pPr>
        <w:pStyle w:val="Textonotapie"/>
        <w:jc w:val="both"/>
        <w:rPr>
          <w:rFonts w:ascii="Arial Nova" w:hAnsi="Arial Nova" w:cs="Arial"/>
          <w:sz w:val="16"/>
          <w:szCs w:val="16"/>
          <w:lang w:val="es-ES_tradnl"/>
        </w:rPr>
      </w:pPr>
      <w:r w:rsidRPr="00A9780A">
        <w:rPr>
          <w:rStyle w:val="Refdenotaalpie"/>
          <w:rFonts w:ascii="Arial Nova" w:hAnsi="Arial Nova" w:cs="Arial"/>
          <w:sz w:val="16"/>
          <w:szCs w:val="16"/>
        </w:rPr>
        <w:footnoteRef/>
      </w:r>
      <w:r w:rsidRPr="00A9780A">
        <w:rPr>
          <w:rStyle w:val="Refdenotaalpie"/>
          <w:rFonts w:ascii="Arial Nova" w:hAnsi="Arial Nova" w:cs="Arial"/>
          <w:sz w:val="16"/>
          <w:szCs w:val="16"/>
        </w:rPr>
        <w:t xml:space="preserve"> </w:t>
      </w:r>
      <w:r w:rsidRPr="00A9780A">
        <w:rPr>
          <w:rFonts w:ascii="Arial Nova" w:hAnsi="Arial Nova" w:cs="Arial"/>
          <w:sz w:val="16"/>
          <w:szCs w:val="16"/>
        </w:rPr>
        <w:t xml:space="preserve">Véase </w:t>
      </w:r>
      <w:r w:rsidRPr="00A9780A">
        <w:rPr>
          <w:rStyle w:val="Refdenotaalpie"/>
          <w:rFonts w:ascii="Arial Nova" w:hAnsi="Arial Nova" w:cs="Arial"/>
          <w:sz w:val="16"/>
          <w:szCs w:val="16"/>
        </w:rPr>
        <w:t xml:space="preserve"> </w:t>
      </w:r>
      <w:r w:rsidRPr="00A9780A">
        <w:rPr>
          <w:rFonts w:ascii="Arial Nova" w:hAnsi="Arial Nova" w:cs="Arial"/>
          <w:sz w:val="16"/>
          <w:szCs w:val="16"/>
          <w:lang w:val="es-ES_tradnl"/>
        </w:rPr>
        <w:t>la jurisprudencia 9/2012, de rubro: "REENCAUZAMIENTO. EL ANÁLISIS DE LA PROCEDENCIA DEL MEDIO DE IMPUGNACIÓN CORRESPONDE A LA AUTORIDAD U ÓRGANO COMPETENTE, publicada en Gaceta de Jurisprudencia y Tesis en materia electoral, Tribunal Electoral del Poder Judicial de la Federación, año 5, número 10, 2012, pp. 34 y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6E" w:rsidRDefault="00F6286E" w:rsidP="00F6286E">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0D4876E7" wp14:editId="30064413">
          <wp:simplePos x="0" y="0"/>
          <wp:positionH relativeFrom="margin">
            <wp:align>left</wp:align>
          </wp:positionH>
          <wp:positionV relativeFrom="paragraph">
            <wp:posOffset>4445</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 xml:space="preserve">                                                               </w:t>
    </w:r>
  </w:p>
  <w:p w:rsidR="00F6286E" w:rsidRDefault="00F6286E" w:rsidP="00F6286E">
    <w:pPr>
      <w:pStyle w:val="Encabezado"/>
      <w:jc w:val="center"/>
      <w:rPr>
        <w:rFonts w:ascii="Arial" w:hAnsi="Arial" w:cs="Arial"/>
        <w:b/>
        <w:sz w:val="18"/>
        <w:szCs w:val="18"/>
      </w:rPr>
    </w:pPr>
  </w:p>
  <w:p w:rsidR="00F6286E" w:rsidRPr="00A46BD3" w:rsidRDefault="00E052CB" w:rsidP="00F6286E">
    <w:pPr>
      <w:pStyle w:val="Encabezado"/>
      <w:rPr>
        <w:rFonts w:ascii="Century Gothic" w:hAnsi="Century Gothic"/>
      </w:rPr>
    </w:pPr>
    <w:sdt>
      <w:sdtPr>
        <w:rPr>
          <w:rFonts w:ascii="Century Gothic" w:hAnsi="Century Gothic"/>
        </w:rPr>
        <w:id w:val="120039685"/>
        <w:docPartObj>
          <w:docPartGallery w:val="Page Numbers (Margins)"/>
          <w:docPartUnique/>
        </w:docPartObj>
      </w:sdtPr>
      <w:sdtEndPr/>
      <w:sdtContent>
        <w:r w:rsidR="00F6286E" w:rsidRPr="00932419">
          <w:rPr>
            <w:rFonts w:ascii="Century Gothic" w:hAnsi="Century Gothic"/>
            <w:noProof/>
          </w:rPr>
          <mc:AlternateContent>
            <mc:Choice Requires="wps">
              <w:drawing>
                <wp:anchor distT="0" distB="0" distL="114300" distR="114300" simplePos="0" relativeHeight="251659264" behindDoc="0" locked="0" layoutInCell="0" allowOverlap="1" wp14:anchorId="7B6E63AA" wp14:editId="54F27DFF">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801221519"/>
                                <w:docPartObj>
                                  <w:docPartGallery w:val="Page Numbers (Margins)"/>
                                  <w:docPartUnique/>
                                </w:docPartObj>
                              </w:sdtPr>
                              <w:sdtEndPr/>
                              <w:sdtContent>
                                <w:p w:rsidR="00F6286E" w:rsidRPr="00932419" w:rsidRDefault="00F6286E">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2E28EC">
                                    <w:rPr>
                                      <w:rFonts w:ascii="Century Gothic" w:eastAsiaTheme="majorEastAsia" w:hAnsi="Century Gothic" w:cstheme="majorBidi"/>
                                      <w:b/>
                                      <w:noProof/>
                                      <w:sz w:val="48"/>
                                      <w:szCs w:val="48"/>
                                      <w:lang w:val="es-ES"/>
                                    </w:rPr>
                                    <w:t>6</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63AA"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801221519"/>
                          <w:docPartObj>
                            <w:docPartGallery w:val="Page Numbers (Margins)"/>
                            <w:docPartUnique/>
                          </w:docPartObj>
                        </w:sdtPr>
                        <w:sdtEndPr/>
                        <w:sdtContent>
                          <w:p w:rsidR="00F6286E" w:rsidRPr="00932419" w:rsidRDefault="00F6286E">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2E28EC">
                              <w:rPr>
                                <w:rFonts w:ascii="Century Gothic" w:eastAsiaTheme="majorEastAsia" w:hAnsi="Century Gothic" w:cstheme="majorBidi"/>
                                <w:b/>
                                <w:noProof/>
                                <w:sz w:val="48"/>
                                <w:szCs w:val="48"/>
                                <w:lang w:val="es-ES"/>
                              </w:rPr>
                              <w:t>6</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D33E6"/>
    <w:multiLevelType w:val="hybridMultilevel"/>
    <w:tmpl w:val="7F8CC5B8"/>
    <w:lvl w:ilvl="0" w:tplc="A9EE8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6C0B19"/>
    <w:multiLevelType w:val="hybridMultilevel"/>
    <w:tmpl w:val="E4764804"/>
    <w:lvl w:ilvl="0" w:tplc="26447518">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66B2AC0"/>
    <w:multiLevelType w:val="multilevel"/>
    <w:tmpl w:val="62D609A0"/>
    <w:lvl w:ilvl="0">
      <w:start w:val="1"/>
      <w:numFmt w:val="decimal"/>
      <w:lvlText w:val="%1."/>
      <w:lvlJc w:val="left"/>
      <w:pPr>
        <w:ind w:left="644" w:hanging="360"/>
      </w:pPr>
      <w:rPr>
        <w:b/>
        <w:color w:val="000000" w:themeColor="text1"/>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4D1571D1"/>
    <w:multiLevelType w:val="multilevel"/>
    <w:tmpl w:val="8A7E84C6"/>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145"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536D41EC"/>
    <w:multiLevelType w:val="hybridMultilevel"/>
    <w:tmpl w:val="2DA2018E"/>
    <w:lvl w:ilvl="0" w:tplc="9B00F82A">
      <w:start w:val="1"/>
      <w:numFmt w:val="upperLetter"/>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5" w15:restartNumberingAfterBreak="0">
    <w:nsid w:val="53F5352B"/>
    <w:multiLevelType w:val="hybridMultilevel"/>
    <w:tmpl w:val="0FE6419E"/>
    <w:lvl w:ilvl="0" w:tplc="B08A12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122BC5"/>
    <w:multiLevelType w:val="hybridMultilevel"/>
    <w:tmpl w:val="A216B47C"/>
    <w:lvl w:ilvl="0" w:tplc="8B50F58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FD"/>
    <w:rsid w:val="00012F5B"/>
    <w:rsid w:val="0001616F"/>
    <w:rsid w:val="0002628C"/>
    <w:rsid w:val="000347FB"/>
    <w:rsid w:val="00035F49"/>
    <w:rsid w:val="00092C88"/>
    <w:rsid w:val="000A0CB5"/>
    <w:rsid w:val="000B2EEB"/>
    <w:rsid w:val="000D02A2"/>
    <w:rsid w:val="000D5F94"/>
    <w:rsid w:val="000E5E6F"/>
    <w:rsid w:val="000F6EFE"/>
    <w:rsid w:val="0010088B"/>
    <w:rsid w:val="00111927"/>
    <w:rsid w:val="00112AFE"/>
    <w:rsid w:val="00160CE3"/>
    <w:rsid w:val="00165394"/>
    <w:rsid w:val="001653F8"/>
    <w:rsid w:val="00167082"/>
    <w:rsid w:val="00186B15"/>
    <w:rsid w:val="00194D81"/>
    <w:rsid w:val="00196C42"/>
    <w:rsid w:val="001C0E38"/>
    <w:rsid w:val="001D1548"/>
    <w:rsid w:val="001E4CA3"/>
    <w:rsid w:val="00205533"/>
    <w:rsid w:val="002136F6"/>
    <w:rsid w:val="002251C7"/>
    <w:rsid w:val="00240411"/>
    <w:rsid w:val="00241398"/>
    <w:rsid w:val="00241E71"/>
    <w:rsid w:val="00255091"/>
    <w:rsid w:val="0025741E"/>
    <w:rsid w:val="002638B8"/>
    <w:rsid w:val="00292561"/>
    <w:rsid w:val="002B2D5E"/>
    <w:rsid w:val="002D33EA"/>
    <w:rsid w:val="002E403C"/>
    <w:rsid w:val="00320DD9"/>
    <w:rsid w:val="00327A16"/>
    <w:rsid w:val="00332D9D"/>
    <w:rsid w:val="00342BC0"/>
    <w:rsid w:val="003502FF"/>
    <w:rsid w:val="00355BB1"/>
    <w:rsid w:val="00357EC3"/>
    <w:rsid w:val="00365744"/>
    <w:rsid w:val="0037497F"/>
    <w:rsid w:val="003A37CC"/>
    <w:rsid w:val="003B021C"/>
    <w:rsid w:val="003C2AA9"/>
    <w:rsid w:val="003F0104"/>
    <w:rsid w:val="00402988"/>
    <w:rsid w:val="004045F6"/>
    <w:rsid w:val="00404822"/>
    <w:rsid w:val="004065E0"/>
    <w:rsid w:val="004210D6"/>
    <w:rsid w:val="00460A9A"/>
    <w:rsid w:val="004660B9"/>
    <w:rsid w:val="004679EC"/>
    <w:rsid w:val="00476516"/>
    <w:rsid w:val="00483DF4"/>
    <w:rsid w:val="0049429A"/>
    <w:rsid w:val="0049457B"/>
    <w:rsid w:val="00497267"/>
    <w:rsid w:val="004A19E2"/>
    <w:rsid w:val="004A1BD2"/>
    <w:rsid w:val="004A1D6D"/>
    <w:rsid w:val="004A489A"/>
    <w:rsid w:val="004C4847"/>
    <w:rsid w:val="00523740"/>
    <w:rsid w:val="00552D15"/>
    <w:rsid w:val="00557371"/>
    <w:rsid w:val="00575F01"/>
    <w:rsid w:val="005B1EE6"/>
    <w:rsid w:val="005D5B7F"/>
    <w:rsid w:val="00612EB5"/>
    <w:rsid w:val="00673A43"/>
    <w:rsid w:val="00695296"/>
    <w:rsid w:val="006B4653"/>
    <w:rsid w:val="006B7E7A"/>
    <w:rsid w:val="006D213C"/>
    <w:rsid w:val="006E26EE"/>
    <w:rsid w:val="006E3CF2"/>
    <w:rsid w:val="006F215C"/>
    <w:rsid w:val="00702D23"/>
    <w:rsid w:val="00713170"/>
    <w:rsid w:val="0073386C"/>
    <w:rsid w:val="00755290"/>
    <w:rsid w:val="00761AE0"/>
    <w:rsid w:val="007A19FA"/>
    <w:rsid w:val="007A6BFA"/>
    <w:rsid w:val="0083556F"/>
    <w:rsid w:val="00842A85"/>
    <w:rsid w:val="0084795A"/>
    <w:rsid w:val="008737DF"/>
    <w:rsid w:val="008838A5"/>
    <w:rsid w:val="008B2606"/>
    <w:rsid w:val="008C015B"/>
    <w:rsid w:val="008C5144"/>
    <w:rsid w:val="008D13EE"/>
    <w:rsid w:val="008D30B8"/>
    <w:rsid w:val="008E51C8"/>
    <w:rsid w:val="00902B9D"/>
    <w:rsid w:val="00904718"/>
    <w:rsid w:val="0091601E"/>
    <w:rsid w:val="00966927"/>
    <w:rsid w:val="009726B8"/>
    <w:rsid w:val="009767D1"/>
    <w:rsid w:val="009A6B70"/>
    <w:rsid w:val="009B0927"/>
    <w:rsid w:val="009F176A"/>
    <w:rsid w:val="00A20100"/>
    <w:rsid w:val="00A2236E"/>
    <w:rsid w:val="00A4266D"/>
    <w:rsid w:val="00A55DC3"/>
    <w:rsid w:val="00A5769E"/>
    <w:rsid w:val="00A70DB1"/>
    <w:rsid w:val="00A9780A"/>
    <w:rsid w:val="00AA33D4"/>
    <w:rsid w:val="00AA581E"/>
    <w:rsid w:val="00AB0672"/>
    <w:rsid w:val="00AD3461"/>
    <w:rsid w:val="00AD4D4D"/>
    <w:rsid w:val="00AE4189"/>
    <w:rsid w:val="00B16FD0"/>
    <w:rsid w:val="00B43915"/>
    <w:rsid w:val="00B5201C"/>
    <w:rsid w:val="00B71BF7"/>
    <w:rsid w:val="00B76AF0"/>
    <w:rsid w:val="00B87143"/>
    <w:rsid w:val="00B95E0C"/>
    <w:rsid w:val="00BA0439"/>
    <w:rsid w:val="00BA6AEC"/>
    <w:rsid w:val="00BB6379"/>
    <w:rsid w:val="00BD1DDB"/>
    <w:rsid w:val="00BD7345"/>
    <w:rsid w:val="00C00FE7"/>
    <w:rsid w:val="00C02899"/>
    <w:rsid w:val="00C33FAF"/>
    <w:rsid w:val="00C572E0"/>
    <w:rsid w:val="00C82A41"/>
    <w:rsid w:val="00C97666"/>
    <w:rsid w:val="00CB4717"/>
    <w:rsid w:val="00CC4A1E"/>
    <w:rsid w:val="00CF3A61"/>
    <w:rsid w:val="00D148D2"/>
    <w:rsid w:val="00D15491"/>
    <w:rsid w:val="00D36499"/>
    <w:rsid w:val="00D4124E"/>
    <w:rsid w:val="00D46835"/>
    <w:rsid w:val="00D53AA5"/>
    <w:rsid w:val="00D61017"/>
    <w:rsid w:val="00D70EFD"/>
    <w:rsid w:val="00D81050"/>
    <w:rsid w:val="00D85F3B"/>
    <w:rsid w:val="00D90F29"/>
    <w:rsid w:val="00DB048C"/>
    <w:rsid w:val="00DB15CE"/>
    <w:rsid w:val="00DB3EA6"/>
    <w:rsid w:val="00DD0AB4"/>
    <w:rsid w:val="00DD469D"/>
    <w:rsid w:val="00DD5A1D"/>
    <w:rsid w:val="00DF0C60"/>
    <w:rsid w:val="00E02D1C"/>
    <w:rsid w:val="00E052CB"/>
    <w:rsid w:val="00E06A07"/>
    <w:rsid w:val="00E157D2"/>
    <w:rsid w:val="00E42D9E"/>
    <w:rsid w:val="00E64F74"/>
    <w:rsid w:val="00E74E12"/>
    <w:rsid w:val="00EC5A13"/>
    <w:rsid w:val="00EE3D1C"/>
    <w:rsid w:val="00EE5185"/>
    <w:rsid w:val="00F160AE"/>
    <w:rsid w:val="00F2022E"/>
    <w:rsid w:val="00F21798"/>
    <w:rsid w:val="00F342D9"/>
    <w:rsid w:val="00F35A2D"/>
    <w:rsid w:val="00F53837"/>
    <w:rsid w:val="00F6286E"/>
    <w:rsid w:val="00F75536"/>
    <w:rsid w:val="00F80F67"/>
    <w:rsid w:val="00F87C8F"/>
    <w:rsid w:val="00F9289F"/>
    <w:rsid w:val="00F94BAF"/>
    <w:rsid w:val="00FA70A9"/>
    <w:rsid w:val="00FB074B"/>
    <w:rsid w:val="00FC40FF"/>
    <w:rsid w:val="00FD4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28BA7-B9AF-45DE-A6C8-7AC99D79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FD"/>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EFD"/>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D70EFD"/>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D70EF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70EFD"/>
    <w:rPr>
      <w:color w:val="0563C1" w:themeColor="hyperlink"/>
      <w:u w:val="single"/>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70EFD"/>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70EFD"/>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link w:val="4GChar"/>
    <w:uiPriority w:val="99"/>
    <w:unhideWhenUsed/>
    <w:qFormat/>
    <w:rsid w:val="00D70EFD"/>
    <w:rPr>
      <w:vertAlign w:val="superscript"/>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70EFD"/>
    <w:rPr>
      <w:rFonts w:eastAsiaTheme="minorEastAsia"/>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D70EF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653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394"/>
    <w:rPr>
      <w:rFonts w:eastAsiaTheme="minorEastAsia"/>
      <w:lang w:eastAsia="es-MX"/>
    </w:rPr>
  </w:style>
  <w:style w:type="character" w:styleId="Mencinsinresolver">
    <w:name w:val="Unresolved Mention"/>
    <w:basedOn w:val="Fuentedeprrafopredeter"/>
    <w:uiPriority w:val="99"/>
    <w:semiHidden/>
    <w:unhideWhenUsed/>
    <w:rsid w:val="002B2D5E"/>
    <w:rPr>
      <w:color w:val="605E5C"/>
      <w:shd w:val="clear" w:color="auto" w:fill="E1DFDD"/>
    </w:rPr>
  </w:style>
  <w:style w:type="paragraph" w:styleId="Textoindependiente">
    <w:name w:val="Body Text"/>
    <w:basedOn w:val="Normal"/>
    <w:link w:val="TextoindependienteCar"/>
    <w:uiPriority w:val="1"/>
    <w:qFormat/>
    <w:rsid w:val="002B2D5E"/>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2B2D5E"/>
    <w:rPr>
      <w:rFonts w:ascii="Arial" w:eastAsia="Arial" w:hAnsi="Arial" w:cs="Arial"/>
      <w:sz w:val="28"/>
      <w:szCs w:val="28"/>
      <w:lang w:val="en-US"/>
    </w:rPr>
  </w:style>
  <w:style w:type="paragraph" w:styleId="Textodeglobo">
    <w:name w:val="Balloon Text"/>
    <w:basedOn w:val="Normal"/>
    <w:link w:val="TextodegloboCar"/>
    <w:uiPriority w:val="99"/>
    <w:semiHidden/>
    <w:unhideWhenUsed/>
    <w:rsid w:val="00D36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499"/>
    <w:rPr>
      <w:rFonts w:ascii="Segoe UI" w:eastAsiaTheme="minorEastAsia" w:hAnsi="Segoe UI" w:cs="Segoe UI"/>
      <w:sz w:val="18"/>
      <w:szCs w:val="18"/>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A6B70"/>
    <w:pPr>
      <w:spacing w:after="0" w:line="240" w:lineRule="auto"/>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renacnhj@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e.gob.mx/EE/SM/2019/JDC/67/SM_2019_JDC_67-843599.pdf" TargetMode="External"/><Relationship Id="rId3" Type="http://schemas.openxmlformats.org/officeDocument/2006/relationships/hyperlink" Target="https://morena.si/wp-content/uploads/2019/03/DICTAMEN-DE-APROBACI%C3%93N-DE-PRESIDENTES-MUNICIPALES-1.pdf" TargetMode="External"/><Relationship Id="rId7" Type="http://schemas.openxmlformats.org/officeDocument/2006/relationships/hyperlink" Target="https://www.te.gob.mx/EE/SM/2019/JDC/66/SM_2019_JDC_66-843656.pdf" TargetMode="External"/><Relationship Id="rId2" Type="http://schemas.openxmlformats.org/officeDocument/2006/relationships/hyperlink" Target="https://morena.si/wp-content/uploads/2019/02/FE-DE-ERRATAS-AGUASCALIENTES.pdf" TargetMode="External"/><Relationship Id="rId1" Type="http://schemas.openxmlformats.org/officeDocument/2006/relationships/hyperlink" Target="https://morena.si/wp-content/uploads/2019/01/CONVOCATORIA-Aguascalientes-Final2.pdf" TargetMode="External"/><Relationship Id="rId6" Type="http://schemas.openxmlformats.org/officeDocument/2006/relationships/hyperlink" Target="http://sief.te.gob.mx/iuse/tesisjur.aspx?idtesis=5/2005&amp;tpoBusqueda=S&amp;sWord=5/2005" TargetMode="External"/><Relationship Id="rId5" Type="http://schemas.openxmlformats.org/officeDocument/2006/relationships/hyperlink" Target="http://sief.te.gob.mx/iuse/tesisjur.aspx?idtesis=3/2018&amp;tpoBusqueda=S&amp;sWord=3/2018" TargetMode="External"/><Relationship Id="rId4" Type="http://schemas.openxmlformats.org/officeDocument/2006/relationships/hyperlink" Target="https://morena.si/wp-content/uploads/2019/03/FE-DE-ERRATAS-DICTAMEN-DE-APROBACI%C3%93N-1.pdf" TargetMode="External"/><Relationship Id="rId9" Type="http://schemas.openxmlformats.org/officeDocument/2006/relationships/hyperlink" Target="https://www.te.gob.mx/EE/SM/2019/JDC/125/SM_2019_JDC_125-84867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F5AE-DC17-4BBB-96BD-A8A5E344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2531</Words>
  <Characters>13924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2</cp:revision>
  <cp:lastPrinted>2019-03-15T22:40:00Z</cp:lastPrinted>
  <dcterms:created xsi:type="dcterms:W3CDTF">2019-04-26T21:05:00Z</dcterms:created>
  <dcterms:modified xsi:type="dcterms:W3CDTF">2019-04-26T21:05:00Z</dcterms:modified>
</cp:coreProperties>
</file>